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A67F" w14:textId="77777777" w:rsidR="00C41D0A" w:rsidRDefault="00C41D0A">
      <w:pPr>
        <w:tabs>
          <w:tab w:val="center" w:pos="4419"/>
          <w:tab w:val="right" w:pos="8838"/>
        </w:tabs>
        <w:rPr>
          <w:rFonts w:ascii="Noto Sans" w:eastAsia="Noto Sans" w:hAnsi="Noto Sans" w:cs="Noto Sans"/>
          <w:b/>
          <w:bCs/>
          <w:color w:val="974E3F"/>
          <w:sz w:val="22"/>
          <w:szCs w:val="22"/>
        </w:rPr>
      </w:pPr>
    </w:p>
    <w:p w14:paraId="39932363" w14:textId="77777777" w:rsidR="00C41D0A" w:rsidRDefault="00C41D0A">
      <w:pPr>
        <w:jc w:val="center"/>
        <w:rPr>
          <w:rFonts w:ascii="Noto Sans" w:eastAsia="Noto Sans" w:hAnsi="Noto Sans" w:cs="Noto Sans"/>
          <w:b/>
          <w:bCs/>
          <w:color w:val="974E3F"/>
          <w:sz w:val="22"/>
          <w:szCs w:val="22"/>
        </w:rPr>
      </w:pPr>
    </w:p>
    <w:p w14:paraId="5CC17138" w14:textId="77777777" w:rsidR="00C41D0A" w:rsidRDefault="00C41D0A">
      <w:pPr>
        <w:jc w:val="center"/>
        <w:rPr>
          <w:rFonts w:ascii="Noto Sans" w:eastAsia="Noto Sans" w:hAnsi="Noto Sans" w:cs="Noto Sans"/>
          <w:b/>
          <w:bCs/>
          <w:color w:val="974E3F"/>
          <w:sz w:val="22"/>
          <w:szCs w:val="22"/>
        </w:rPr>
      </w:pPr>
    </w:p>
    <w:p w14:paraId="04214C89" w14:textId="77777777" w:rsidR="00C41D0A" w:rsidRDefault="00C41D0A">
      <w:pPr>
        <w:jc w:val="center"/>
        <w:rPr>
          <w:rFonts w:ascii="Noto Sans" w:eastAsia="Noto Sans" w:hAnsi="Noto Sans" w:cs="Noto Sans"/>
          <w:b/>
          <w:bCs/>
          <w:color w:val="974E3F"/>
          <w:sz w:val="52"/>
          <w:szCs w:val="52"/>
        </w:rPr>
      </w:pPr>
    </w:p>
    <w:p w14:paraId="0C81D96C" w14:textId="77777777" w:rsidR="00C41D0A" w:rsidRDefault="0057227D">
      <w:pPr>
        <w:jc w:val="center"/>
        <w:rPr>
          <w:rFonts w:ascii="Noto Sans" w:eastAsia="Noto Sans" w:hAnsi="Noto Sans" w:cs="Noto Sans"/>
          <w:b/>
          <w:bCs/>
          <w:color w:val="974E3F"/>
          <w:sz w:val="52"/>
          <w:szCs w:val="52"/>
        </w:rPr>
      </w:pPr>
      <w:r>
        <w:rPr>
          <w:rFonts w:ascii="Noto Sans" w:eastAsia="Noto Sans" w:hAnsi="Noto Sans" w:cs="Noto Sans"/>
          <w:b/>
          <w:bCs/>
          <w:color w:val="974E3F"/>
          <w:sz w:val="52"/>
          <w:szCs w:val="52"/>
        </w:rPr>
        <w:t>Anexo 3</w:t>
      </w:r>
    </w:p>
    <w:p w14:paraId="6C7EB9CE" w14:textId="77777777" w:rsidR="00C41D0A" w:rsidRDefault="0057227D">
      <w:pPr>
        <w:jc w:val="center"/>
        <w:rPr>
          <w:rFonts w:ascii="Noto Sans" w:eastAsia="Noto Sans" w:hAnsi="Noto Sans" w:cs="Noto Sans"/>
          <w:b/>
          <w:bCs/>
          <w:sz w:val="52"/>
          <w:szCs w:val="52"/>
        </w:rPr>
      </w:pPr>
      <w:r>
        <w:rPr>
          <w:rFonts w:ascii="Noto Sans" w:eastAsia="Noto Sans" w:hAnsi="Noto Sans" w:cs="Noto Sans"/>
          <w:b/>
          <w:bCs/>
          <w:color w:val="974E3F"/>
          <w:sz w:val="52"/>
          <w:szCs w:val="52"/>
        </w:rPr>
        <w:t>Condiciones de la contraprestación del Servicio Integrado</w:t>
      </w:r>
    </w:p>
    <w:p w14:paraId="54AB0F2B" w14:textId="77777777" w:rsidR="00C41D0A" w:rsidRDefault="0057227D">
      <w:pPr>
        <w:spacing w:after="160" w:line="278" w:lineRule="auto"/>
        <w:rPr>
          <w:rFonts w:ascii="Noto Sans" w:eastAsia="Noto Sans" w:hAnsi="Noto Sans" w:cs="Noto Sans"/>
          <w:sz w:val="52"/>
          <w:szCs w:val="52"/>
        </w:rPr>
      </w:pPr>
      <w:r>
        <w:br w:type="page"/>
      </w:r>
    </w:p>
    <w:p w14:paraId="4171BDDC"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lastRenderedPageBreak/>
        <w:t xml:space="preserve">El presente anexo se emite a fin de establecer las condiciones de la contraprestación del </w:t>
      </w:r>
      <w:r>
        <w:rPr>
          <w:rFonts w:ascii="Noto Sans" w:eastAsia="Noto Sans" w:hAnsi="Noto Sans" w:cs="Noto Sans"/>
          <w:b/>
          <w:bCs/>
          <w:sz w:val="22"/>
          <w:szCs w:val="22"/>
        </w:rPr>
        <w:t>SERVICIO INTEGRADO</w:t>
      </w:r>
      <w:r>
        <w:rPr>
          <w:rFonts w:ascii="Noto Sans" w:eastAsia="Noto Sans" w:hAnsi="Noto Sans" w:cs="Noto Sans"/>
          <w:sz w:val="22"/>
          <w:szCs w:val="22"/>
        </w:rPr>
        <w:t>, conforme a lo señalado en las Cláusulas Tercera y Quinta del Convenio de Colaboración para el suministro, almacenamiento, abastecimiento, resguardo, distribución y entrega de medicamentos en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denominado </w:t>
      </w:r>
      <w:r>
        <w:rPr>
          <w:rFonts w:ascii="Noto Sans" w:eastAsia="Noto Sans" w:hAnsi="Noto Sans" w:cs="Noto Sans"/>
          <w:b/>
          <w:bCs/>
          <w:sz w:val="22"/>
          <w:szCs w:val="22"/>
        </w:rPr>
        <w:t>“SALUD CASA POR CASA”.</w:t>
      </w:r>
    </w:p>
    <w:p w14:paraId="438D8793" w14:textId="77777777" w:rsidR="00C41D0A" w:rsidRDefault="00C41D0A">
      <w:pPr>
        <w:jc w:val="both"/>
        <w:rPr>
          <w:rFonts w:ascii="Noto Sans" w:eastAsia="Noto Sans" w:hAnsi="Noto Sans" w:cs="Noto Sans"/>
          <w:sz w:val="22"/>
          <w:szCs w:val="22"/>
        </w:rPr>
      </w:pPr>
    </w:p>
    <w:p w14:paraId="2796E666"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Para el caso de la modalidad de operación en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que prestará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consistirá en el suministro, almacenamiento, resguardo, abastecimiento y distribución de medicamentos en </w:t>
      </w:r>
      <w:r>
        <w:rPr>
          <w:rFonts w:ascii="Noto Sans" w:eastAsia="Noto Sans" w:hAnsi="Noto Sans" w:cs="Noto Sans"/>
          <w:b/>
          <w:bCs/>
          <w:sz w:val="22"/>
          <w:szCs w:val="22"/>
        </w:rPr>
        <w:t>“TIENDAS BIENESTAR”</w:t>
      </w:r>
      <w:r>
        <w:rPr>
          <w:rFonts w:ascii="Noto Sans" w:eastAsia="Noto Sans" w:hAnsi="Noto Sans" w:cs="Noto Sans"/>
          <w:sz w:val="22"/>
          <w:szCs w:val="22"/>
        </w:rPr>
        <w:t xml:space="preserv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entregará los paquetes de medicamentos que correspondan a cada una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conforme a lo establecido por </w:t>
      </w:r>
      <w:r>
        <w:rPr>
          <w:rFonts w:ascii="Noto Sans" w:eastAsia="Noto Sans" w:hAnsi="Noto Sans" w:cs="Noto Sans"/>
          <w:b/>
          <w:bCs/>
          <w:sz w:val="22"/>
          <w:szCs w:val="22"/>
        </w:rPr>
        <w:t xml:space="preserve">“SALUD”, </w:t>
      </w:r>
      <w:r>
        <w:rPr>
          <w:rFonts w:ascii="Noto Sans" w:eastAsia="Noto Sans" w:hAnsi="Noto Sans" w:cs="Noto Sans"/>
          <w:sz w:val="22"/>
          <w:szCs w:val="22"/>
        </w:rPr>
        <w:t xml:space="preserve">en los almacenes definidos por </w:t>
      </w:r>
      <w:r>
        <w:rPr>
          <w:rFonts w:ascii="Noto Sans" w:eastAsia="Noto Sans" w:hAnsi="Noto Sans" w:cs="Noto Sans"/>
          <w:b/>
          <w:bCs/>
          <w:sz w:val="22"/>
          <w:szCs w:val="22"/>
        </w:rPr>
        <w:t>“ALIMENTACIÓN PARA EL BIENESTAR”,</w:t>
      </w:r>
      <w:r>
        <w:rPr>
          <w:rFonts w:ascii="Noto Sans" w:eastAsia="Noto Sans" w:hAnsi="Noto Sans" w:cs="Noto Sans"/>
          <w:sz w:val="22"/>
          <w:szCs w:val="22"/>
        </w:rPr>
        <w:t xml:space="preserve"> para que estos puedan ser distribuidos a su destino final sin necesidad de manipulación adicional durante el traslado.</w:t>
      </w:r>
    </w:p>
    <w:p w14:paraId="6311A248" w14:textId="77777777" w:rsidR="00C41D0A" w:rsidRDefault="00C41D0A">
      <w:pPr>
        <w:jc w:val="both"/>
        <w:rPr>
          <w:rFonts w:ascii="Noto Sans" w:eastAsia="Noto Sans" w:hAnsi="Noto Sans" w:cs="Noto Sans"/>
          <w:sz w:val="22"/>
          <w:szCs w:val="22"/>
        </w:rPr>
      </w:pPr>
    </w:p>
    <w:p w14:paraId="368B8C15" w14:textId="77777777" w:rsidR="00C41D0A" w:rsidRDefault="0057227D">
      <w:pPr>
        <w:jc w:val="both"/>
        <w:rPr>
          <w:rFonts w:ascii="Noto Sans" w:eastAsia="Noto Sans" w:hAnsi="Noto Sans" w:cs="Noto Sans"/>
          <w:b/>
          <w:bCs/>
          <w:sz w:val="22"/>
          <w:szCs w:val="22"/>
        </w:rPr>
      </w:pPr>
      <w:r>
        <w:rPr>
          <w:rFonts w:ascii="Noto Sans" w:eastAsia="Noto Sans" w:hAnsi="Noto Sans" w:cs="Noto Sans"/>
          <w:sz w:val="22"/>
          <w:szCs w:val="22"/>
        </w:rPr>
        <w:t xml:space="preserve">Para el caso de la modalidad de operación en </w:t>
      </w:r>
      <w:r>
        <w:rPr>
          <w:rFonts w:ascii="Noto Sans" w:eastAsia="Noto Sans" w:hAnsi="Noto Sans" w:cs="Noto Sans"/>
          <w:b/>
          <w:bCs/>
          <w:sz w:val="22"/>
          <w:szCs w:val="22"/>
        </w:rPr>
        <w:t xml:space="preserve">“MÁQUINAS DESPACHADORAS”, </w:t>
      </w:r>
      <w:r>
        <w:rPr>
          <w:rFonts w:ascii="Noto Sans" w:eastAsia="Noto Sans" w:hAnsi="Noto Sans" w:cs="Noto Sans"/>
          <w:sz w:val="22"/>
          <w:szCs w:val="22"/>
        </w:rPr>
        <w:t xml:space="preserve">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prestado por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consistirá en el suministro, almacenamiento, resguardo, abastecimiento, distribución y entrega de medicamentos mediante </w:t>
      </w:r>
      <w:r>
        <w:rPr>
          <w:rFonts w:ascii="Noto Sans" w:eastAsia="Noto Sans" w:hAnsi="Noto Sans" w:cs="Noto Sans"/>
          <w:b/>
          <w:bCs/>
          <w:sz w:val="22"/>
          <w:szCs w:val="22"/>
        </w:rPr>
        <w:t xml:space="preserve">“MÁQUINAS DESPACHADORAS”, </w:t>
      </w:r>
      <w:r>
        <w:rPr>
          <w:rFonts w:ascii="Noto Sans" w:eastAsia="Noto Sans" w:hAnsi="Noto Sans" w:cs="Noto Sans"/>
          <w:sz w:val="22"/>
          <w:szCs w:val="22"/>
        </w:rPr>
        <w:t xml:space="preserve">a través de las cuales le será entregado el medicamento a las personas beneficiarias de </w:t>
      </w:r>
      <w:r>
        <w:rPr>
          <w:rFonts w:ascii="Noto Sans" w:eastAsia="Noto Sans" w:hAnsi="Noto Sans" w:cs="Noto Sans"/>
          <w:b/>
          <w:bCs/>
          <w:sz w:val="22"/>
          <w:szCs w:val="22"/>
        </w:rPr>
        <w:t>“EL PROGRAMA”</w:t>
      </w:r>
      <w:r>
        <w:rPr>
          <w:rFonts w:ascii="Noto Sans" w:eastAsia="Noto Sans" w:hAnsi="Noto Sans" w:cs="Noto Sans"/>
          <w:sz w:val="22"/>
          <w:szCs w:val="22"/>
        </w:rPr>
        <w:t xml:space="preserve">.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colocará las </w:t>
      </w:r>
      <w:r>
        <w:rPr>
          <w:rFonts w:ascii="Noto Sans" w:eastAsia="Noto Sans" w:hAnsi="Noto Sans" w:cs="Noto Sans"/>
          <w:b/>
          <w:bCs/>
          <w:sz w:val="22"/>
          <w:szCs w:val="22"/>
        </w:rPr>
        <w:t xml:space="preserve">“MÁQUINAS DESPACHADORAS” </w:t>
      </w:r>
      <w:r>
        <w:rPr>
          <w:rFonts w:ascii="Noto Sans" w:eastAsia="Noto Sans" w:hAnsi="Noto Sans" w:cs="Noto Sans"/>
          <w:sz w:val="22"/>
          <w:szCs w:val="22"/>
        </w:rPr>
        <w:t xml:space="preserve">en las </w:t>
      </w:r>
      <w:r>
        <w:rPr>
          <w:rFonts w:ascii="Noto Sans" w:eastAsia="Noto Sans" w:hAnsi="Noto Sans" w:cs="Noto Sans"/>
          <w:b/>
          <w:bCs/>
          <w:sz w:val="22"/>
          <w:szCs w:val="22"/>
        </w:rPr>
        <w:t xml:space="preserve">“UNIDADES DE SALUD” </w:t>
      </w:r>
      <w:r>
        <w:rPr>
          <w:rFonts w:ascii="Noto Sans" w:eastAsia="Noto Sans" w:hAnsi="Noto Sans" w:cs="Noto Sans"/>
          <w:sz w:val="22"/>
          <w:szCs w:val="22"/>
        </w:rPr>
        <w:t>que cuenten con la infraestructura requerida</w:t>
      </w:r>
      <w:r>
        <w:rPr>
          <w:rFonts w:ascii="Noto Sans" w:eastAsia="Noto Sans" w:hAnsi="Noto Sans" w:cs="Noto Sans"/>
          <w:b/>
          <w:bCs/>
          <w:sz w:val="22"/>
          <w:szCs w:val="22"/>
        </w:rPr>
        <w:t xml:space="preserve"> </w:t>
      </w:r>
      <w:r>
        <w:rPr>
          <w:rFonts w:ascii="Noto Sans" w:eastAsia="Noto Sans" w:hAnsi="Noto Sans" w:cs="Noto Sans"/>
          <w:sz w:val="22"/>
          <w:szCs w:val="22"/>
        </w:rPr>
        <w:t xml:space="preserve">definida por </w:t>
      </w:r>
      <w:r>
        <w:rPr>
          <w:rFonts w:ascii="Noto Sans" w:eastAsia="Noto Sans" w:hAnsi="Noto Sans" w:cs="Noto Sans"/>
          <w:b/>
          <w:bCs/>
          <w:sz w:val="22"/>
          <w:szCs w:val="22"/>
        </w:rPr>
        <w:t>“SALUD”</w:t>
      </w:r>
      <w:r>
        <w:rPr>
          <w:rFonts w:ascii="Noto Sans" w:eastAsia="Noto Sans" w:hAnsi="Noto Sans" w:cs="Noto Sans"/>
          <w:sz w:val="22"/>
          <w:szCs w:val="22"/>
        </w:rPr>
        <w:t xml:space="preserve"> en coordinación con</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w:t>
      </w:r>
      <w:r>
        <w:rPr>
          <w:rFonts w:ascii="Noto Sans" w:eastAsia="Noto Sans" w:hAnsi="Noto Sans" w:cs="Noto Sans"/>
          <w:b/>
          <w:bCs/>
          <w:sz w:val="22"/>
          <w:szCs w:val="22"/>
        </w:rPr>
        <w:t xml:space="preserve">“IMSS-BIENESTAR”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destinadas por dichas instituciones para la operación de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bajo esta modalidad;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se encargará de mantenerlas abastecidas de los medicamentos enlistados en el </w:t>
      </w:r>
      <w:r>
        <w:rPr>
          <w:rFonts w:ascii="Noto Sans" w:eastAsia="Noto Sans" w:hAnsi="Noto Sans" w:cs="Noto Sans"/>
          <w:b/>
          <w:bCs/>
          <w:sz w:val="22"/>
          <w:szCs w:val="22"/>
        </w:rPr>
        <w:t xml:space="preserve">“ANEXO 1” </w:t>
      </w:r>
      <w:r>
        <w:rPr>
          <w:rFonts w:ascii="Noto Sans" w:eastAsia="Noto Sans" w:hAnsi="Noto Sans" w:cs="Noto Sans"/>
          <w:sz w:val="22"/>
          <w:szCs w:val="22"/>
        </w:rPr>
        <w:t xml:space="preserve">del Convenio de Colaboración, así como garantizar su conectividad; su correcta operación y otorgar el servicio de mantenimiento preventivo y correctivo que corresponda. Las </w:t>
      </w:r>
      <w:r>
        <w:rPr>
          <w:rFonts w:ascii="Noto Sans" w:eastAsia="Noto Sans" w:hAnsi="Noto Sans" w:cs="Noto Sans"/>
          <w:b/>
          <w:bCs/>
          <w:sz w:val="22"/>
          <w:szCs w:val="22"/>
        </w:rPr>
        <w:t>“UNIDADES DE SALUD”</w:t>
      </w:r>
      <w:r>
        <w:rPr>
          <w:rFonts w:ascii="Noto Sans" w:eastAsia="Noto Sans" w:hAnsi="Noto Sans" w:cs="Noto Sans"/>
          <w:sz w:val="22"/>
          <w:szCs w:val="22"/>
        </w:rPr>
        <w:t xml:space="preserve"> deberán proporcionar el suministro de energía eléctrica para su correcta operación y cumplir con los requerimientos mínimos establecidos en el </w:t>
      </w:r>
      <w:r>
        <w:rPr>
          <w:rFonts w:ascii="Noto Sans" w:eastAsia="Noto Sans" w:hAnsi="Noto Sans" w:cs="Noto Sans"/>
          <w:b/>
          <w:bCs/>
          <w:sz w:val="22"/>
          <w:szCs w:val="22"/>
        </w:rPr>
        <w:t>“ANEXO 1”.</w:t>
      </w:r>
    </w:p>
    <w:p w14:paraId="2289D8FF" w14:textId="77777777" w:rsidR="00C41D0A" w:rsidRDefault="00C41D0A">
      <w:pPr>
        <w:jc w:val="both"/>
        <w:rPr>
          <w:rFonts w:ascii="Noto Sans" w:eastAsia="Noto Sans" w:hAnsi="Noto Sans" w:cs="Noto Sans"/>
          <w:b/>
          <w:bCs/>
          <w:sz w:val="22"/>
          <w:szCs w:val="22"/>
        </w:rPr>
      </w:pPr>
    </w:p>
    <w:p w14:paraId="1D568089" w14:textId="77777777" w:rsidR="00C41D0A" w:rsidRDefault="0057227D">
      <w:pPr>
        <w:jc w:val="both"/>
        <w:rPr>
          <w:rFonts w:ascii="Noto Sans" w:eastAsia="Noto Sans" w:hAnsi="Noto Sans" w:cs="Noto Sans"/>
          <w:sz w:val="22"/>
          <w:szCs w:val="22"/>
        </w:rPr>
      </w:pPr>
      <w:r>
        <w:rPr>
          <w:rFonts w:ascii="Noto Sans" w:eastAsia="Noto Sans" w:hAnsi="Noto Sans" w:cs="Noto Sans"/>
          <w:b/>
          <w:bCs/>
          <w:sz w:val="22"/>
          <w:szCs w:val="22"/>
        </w:rPr>
        <w:t xml:space="preserve">“IMSS”, “IMSS-BIENESTAR”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entregarán a </w:t>
      </w:r>
      <w:r>
        <w:rPr>
          <w:rFonts w:ascii="Noto Sans" w:eastAsia="Noto Sans" w:hAnsi="Noto Sans" w:cs="Noto Sans"/>
          <w:b/>
          <w:bCs/>
          <w:sz w:val="22"/>
          <w:szCs w:val="22"/>
        </w:rPr>
        <w:t>“BIRMEX”</w:t>
      </w:r>
      <w:r>
        <w:rPr>
          <w:rFonts w:ascii="Noto Sans" w:eastAsia="Noto Sans" w:hAnsi="Noto Sans" w:cs="Noto Sans"/>
          <w:sz w:val="22"/>
          <w:szCs w:val="22"/>
        </w:rPr>
        <w:t xml:space="preserve">, con cargo a su presupuesto autorizado y de acuerdo con su disponibilidad financiera, la contraprestación para cubrir los costos del </w:t>
      </w:r>
      <w:r>
        <w:rPr>
          <w:rFonts w:ascii="Noto Sans" w:eastAsia="Noto Sans" w:hAnsi="Noto Sans" w:cs="Noto Sans"/>
          <w:b/>
          <w:bCs/>
          <w:sz w:val="22"/>
          <w:szCs w:val="22"/>
        </w:rPr>
        <w:t xml:space="preserve">SERVICIO INTEGRADO </w:t>
      </w:r>
      <w:r>
        <w:rPr>
          <w:rFonts w:ascii="Noto Sans" w:eastAsia="Noto Sans" w:hAnsi="Noto Sans" w:cs="Noto Sans"/>
          <w:sz w:val="22"/>
          <w:szCs w:val="22"/>
        </w:rPr>
        <w:t>de cada modalidad de operación, considerando lo siguiente:</w:t>
      </w:r>
    </w:p>
    <w:p w14:paraId="1A8DCFB4" w14:textId="77777777" w:rsidR="00C41D0A" w:rsidRDefault="00C41D0A">
      <w:pPr>
        <w:jc w:val="both"/>
        <w:rPr>
          <w:rFonts w:ascii="Noto Sans" w:eastAsia="Noto Sans" w:hAnsi="Noto Sans" w:cs="Noto Sans"/>
          <w:sz w:val="22"/>
          <w:szCs w:val="22"/>
        </w:rPr>
      </w:pPr>
    </w:p>
    <w:p w14:paraId="4D65EE41" w14:textId="77777777" w:rsidR="00C41D0A" w:rsidRDefault="0057227D">
      <w:pPr>
        <w:jc w:val="both"/>
        <w:rPr>
          <w:rFonts w:ascii="Noto Sans" w:eastAsia="Noto Sans" w:hAnsi="Noto Sans" w:cs="Noto Sans"/>
          <w:sz w:val="22"/>
          <w:szCs w:val="22"/>
        </w:rPr>
      </w:pPr>
      <w:r>
        <w:rPr>
          <w:rFonts w:ascii="Noto Sans" w:eastAsia="Noto Sans" w:hAnsi="Noto Sans" w:cs="Noto Sans"/>
          <w:b/>
          <w:bCs/>
          <w:sz w:val="22"/>
          <w:szCs w:val="22"/>
        </w:rPr>
        <w:t xml:space="preserve">“SALUD”, </w:t>
      </w:r>
      <w:r>
        <w:rPr>
          <w:rFonts w:ascii="Noto Sans" w:eastAsia="Noto Sans" w:hAnsi="Noto Sans" w:cs="Noto Sans"/>
          <w:sz w:val="22"/>
          <w:szCs w:val="22"/>
        </w:rPr>
        <w:t xml:space="preserve">para cada ejercicio fiscal y/o conforme lo requiera la operación de </w:t>
      </w:r>
      <w:r>
        <w:rPr>
          <w:rFonts w:ascii="Noto Sans" w:eastAsia="Noto Sans" w:hAnsi="Noto Sans" w:cs="Noto Sans"/>
          <w:b/>
          <w:bCs/>
          <w:sz w:val="22"/>
          <w:szCs w:val="22"/>
        </w:rPr>
        <w:t>“EL PROGRAMA”</w:t>
      </w:r>
      <w:r>
        <w:rPr>
          <w:rFonts w:ascii="Noto Sans" w:eastAsia="Noto Sans" w:hAnsi="Noto Sans" w:cs="Noto Sans"/>
          <w:sz w:val="22"/>
          <w:szCs w:val="22"/>
        </w:rPr>
        <w:t xml:space="preserve">, de acuerdo con sus atribuciones conferidas en el Convenio de Colaboración, informará a </w:t>
      </w:r>
      <w:r>
        <w:rPr>
          <w:rFonts w:ascii="Noto Sans" w:eastAsia="Noto Sans" w:hAnsi="Noto Sans" w:cs="Noto Sans"/>
          <w:b/>
          <w:bCs/>
          <w:sz w:val="22"/>
          <w:szCs w:val="22"/>
        </w:rPr>
        <w:t xml:space="preserve">“LAS PARTES” </w:t>
      </w:r>
      <w:r>
        <w:rPr>
          <w:rFonts w:ascii="Noto Sans" w:eastAsia="Noto Sans" w:hAnsi="Noto Sans" w:cs="Noto Sans"/>
          <w:sz w:val="22"/>
          <w:szCs w:val="22"/>
        </w:rPr>
        <w:t>de las necesidades previstas,</w:t>
      </w:r>
      <w:r>
        <w:rPr>
          <w:rFonts w:ascii="Noto Sans" w:eastAsia="Noto Sans" w:hAnsi="Noto Sans" w:cs="Noto Sans"/>
          <w:b/>
          <w:bCs/>
          <w:sz w:val="22"/>
          <w:szCs w:val="22"/>
        </w:rPr>
        <w:t xml:space="preserve"> </w:t>
      </w:r>
      <w:r>
        <w:rPr>
          <w:rFonts w:ascii="Noto Sans" w:eastAsia="Noto Sans" w:hAnsi="Noto Sans" w:cs="Noto Sans"/>
          <w:sz w:val="22"/>
          <w:szCs w:val="22"/>
        </w:rPr>
        <w:t xml:space="preserve">debiendo validar que </w:t>
      </w:r>
      <w:r>
        <w:rPr>
          <w:rFonts w:ascii="Noto Sans" w:eastAsia="Noto Sans" w:hAnsi="Noto Sans" w:cs="Noto Sans"/>
          <w:b/>
          <w:bCs/>
          <w:sz w:val="22"/>
          <w:szCs w:val="22"/>
        </w:rPr>
        <w:t xml:space="preserve">“IMSS”, “IMSS-BIENESTAR”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cuentan con la suficiencia presupuestaria necesaria para la operación de las </w:t>
      </w:r>
      <w:r>
        <w:rPr>
          <w:rFonts w:ascii="Noto Sans" w:eastAsia="Noto Sans" w:hAnsi="Noto Sans" w:cs="Noto Sans"/>
          <w:b/>
          <w:bCs/>
          <w:sz w:val="22"/>
          <w:szCs w:val="22"/>
        </w:rPr>
        <w:t>“FARMACIAS DEL BIENESTAR”</w:t>
      </w:r>
      <w:r>
        <w:rPr>
          <w:rFonts w:ascii="Noto Sans" w:eastAsia="Noto Sans" w:hAnsi="Noto Sans" w:cs="Noto Sans"/>
          <w:sz w:val="22"/>
          <w:szCs w:val="22"/>
        </w:rPr>
        <w:t xml:space="preserve"> en </w:t>
      </w:r>
      <w:r>
        <w:rPr>
          <w:rFonts w:ascii="Noto Sans" w:eastAsia="Noto Sans" w:hAnsi="Noto Sans" w:cs="Noto Sans"/>
          <w:sz w:val="22"/>
          <w:szCs w:val="22"/>
        </w:rPr>
        <w:lastRenderedPageBreak/>
        <w:t xml:space="preserve">sus distintas modalidades de operación. La modalidad de operación definirá los alcances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que prestará </w:t>
      </w:r>
      <w:r>
        <w:rPr>
          <w:rFonts w:ascii="Noto Sans" w:eastAsia="Noto Sans" w:hAnsi="Noto Sans" w:cs="Noto Sans"/>
          <w:b/>
          <w:bCs/>
          <w:sz w:val="22"/>
          <w:szCs w:val="22"/>
        </w:rPr>
        <w:t>“BIRMEX”</w:t>
      </w:r>
      <w:r>
        <w:rPr>
          <w:rFonts w:ascii="Noto Sans" w:eastAsia="Noto Sans" w:hAnsi="Noto Sans" w:cs="Noto Sans"/>
          <w:sz w:val="22"/>
          <w:szCs w:val="22"/>
        </w:rPr>
        <w:t xml:space="preserve">. </w:t>
      </w:r>
    </w:p>
    <w:p w14:paraId="5A72007D" w14:textId="77777777" w:rsidR="00C41D0A" w:rsidRDefault="00C41D0A">
      <w:pPr>
        <w:jc w:val="both"/>
        <w:rPr>
          <w:rFonts w:ascii="Noto Sans" w:eastAsia="Noto Sans" w:hAnsi="Noto Sans" w:cs="Noto Sans"/>
          <w:sz w:val="22"/>
          <w:szCs w:val="22"/>
        </w:rPr>
      </w:pPr>
    </w:p>
    <w:p w14:paraId="6289A32F"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Con base en las necesidades identificadas, el análisis costo beneficio y la investigación de mercado correspondiente, </w:t>
      </w:r>
      <w:r>
        <w:rPr>
          <w:rFonts w:ascii="Noto Sans" w:eastAsia="Noto Sans" w:hAnsi="Noto Sans" w:cs="Noto Sans"/>
          <w:b/>
          <w:bCs/>
          <w:sz w:val="22"/>
          <w:szCs w:val="22"/>
        </w:rPr>
        <w:t>“BIRMEX”</w:t>
      </w:r>
      <w:r>
        <w:rPr>
          <w:rFonts w:ascii="Noto Sans" w:eastAsia="Noto Sans" w:hAnsi="Noto Sans" w:cs="Noto Sans"/>
          <w:sz w:val="22"/>
          <w:szCs w:val="22"/>
        </w:rPr>
        <w:t>, de conformidad con sus atribuciones, comunicará el costo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para las modalidades de operación de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en </w:t>
      </w:r>
      <w:r>
        <w:rPr>
          <w:rFonts w:ascii="Noto Sans" w:eastAsia="Noto Sans" w:hAnsi="Noto Sans" w:cs="Noto Sans"/>
          <w:b/>
          <w:bCs/>
          <w:sz w:val="22"/>
          <w:szCs w:val="22"/>
        </w:rPr>
        <w:t xml:space="preserve">“TIENDAS BIENESTAR” </w:t>
      </w:r>
      <w:r>
        <w:rPr>
          <w:rFonts w:ascii="Noto Sans" w:eastAsia="Noto Sans" w:hAnsi="Noto Sans" w:cs="Noto Sans"/>
          <w:sz w:val="22"/>
          <w:szCs w:val="22"/>
        </w:rPr>
        <w:t xml:space="preserve">y en </w:t>
      </w:r>
      <w:r>
        <w:rPr>
          <w:rFonts w:ascii="Noto Sans" w:eastAsia="Noto Sans" w:hAnsi="Noto Sans" w:cs="Noto Sans"/>
          <w:b/>
          <w:bCs/>
          <w:sz w:val="22"/>
          <w:szCs w:val="22"/>
        </w:rPr>
        <w:t xml:space="preserve">“MÁQUINAS DESPACHADORAS” </w:t>
      </w:r>
      <w:r>
        <w:rPr>
          <w:rFonts w:ascii="Noto Sans" w:eastAsia="Noto Sans" w:hAnsi="Noto Sans" w:cs="Noto Sans"/>
          <w:sz w:val="22"/>
          <w:szCs w:val="22"/>
        </w:rPr>
        <w:t xml:space="preserve">para los ejercicios fiscales 2026 a 2030, para validación y aprobación por escrito de </w:t>
      </w:r>
      <w:r>
        <w:rPr>
          <w:rFonts w:ascii="Noto Sans" w:eastAsia="Noto Sans" w:hAnsi="Noto Sans" w:cs="Noto Sans"/>
          <w:b/>
          <w:bCs/>
          <w:sz w:val="22"/>
          <w:szCs w:val="22"/>
        </w:rPr>
        <w:t xml:space="preserve">“IMSS-BIENESTAR”, “IMSS” </w:t>
      </w:r>
      <w:r>
        <w:rPr>
          <w:rFonts w:ascii="Noto Sans" w:eastAsia="Noto Sans" w:hAnsi="Noto Sans" w:cs="Noto Sans"/>
          <w:sz w:val="22"/>
          <w:szCs w:val="22"/>
        </w:rPr>
        <w:t>e</w:t>
      </w:r>
      <w:r>
        <w:rPr>
          <w:rFonts w:ascii="Noto Sans" w:eastAsia="Noto Sans" w:hAnsi="Noto Sans" w:cs="Noto Sans"/>
          <w:b/>
          <w:bCs/>
          <w:sz w:val="22"/>
          <w:szCs w:val="22"/>
        </w:rPr>
        <w:t xml:space="preserve"> “ISSSTE” </w:t>
      </w:r>
      <w:r>
        <w:rPr>
          <w:rFonts w:ascii="Noto Sans" w:eastAsia="Noto Sans" w:hAnsi="Noto Sans" w:cs="Noto Sans"/>
          <w:color w:val="000000"/>
          <w:sz w:val="22"/>
          <w:szCs w:val="22"/>
        </w:rPr>
        <w:t>dentro de los 5 (cinco) días hábiles siguientes a la recepción de la información</w:t>
      </w:r>
      <w:r>
        <w:rPr>
          <w:rFonts w:ascii="Noto Sans" w:eastAsia="Noto Sans" w:hAnsi="Noto Sans" w:cs="Noto Sans"/>
          <w:sz w:val="22"/>
          <w:szCs w:val="22"/>
        </w:rPr>
        <w:t xml:space="preserve">, con el fin de que puedan anticipar sus procedimientos para la obtención de la suficiencia presupuestaria respectiva en cada ejercicio fiscal. Estos costos serán comunicados a </w:t>
      </w:r>
      <w:r>
        <w:rPr>
          <w:rFonts w:ascii="Noto Sans" w:eastAsia="Noto Sans" w:hAnsi="Noto Sans" w:cs="Noto Sans"/>
          <w:b/>
          <w:bCs/>
          <w:sz w:val="22"/>
          <w:szCs w:val="22"/>
        </w:rPr>
        <w:t xml:space="preserve">“IMSS-BIENESTAR”, “IMSS” </w:t>
      </w:r>
      <w:r>
        <w:rPr>
          <w:rFonts w:ascii="Noto Sans" w:eastAsia="Noto Sans" w:hAnsi="Noto Sans" w:cs="Noto Sans"/>
          <w:sz w:val="22"/>
          <w:szCs w:val="22"/>
        </w:rPr>
        <w:t>e</w:t>
      </w:r>
      <w:r>
        <w:rPr>
          <w:rFonts w:ascii="Noto Sans" w:eastAsia="Noto Sans" w:hAnsi="Noto Sans" w:cs="Noto Sans"/>
          <w:b/>
          <w:bCs/>
          <w:sz w:val="22"/>
          <w:szCs w:val="22"/>
        </w:rPr>
        <w:t xml:space="preserve"> “ISSSTE”</w:t>
      </w:r>
      <w:r>
        <w:rPr>
          <w:rFonts w:ascii="Noto Sans" w:eastAsia="Noto Sans" w:hAnsi="Noto Sans" w:cs="Noto Sans"/>
          <w:sz w:val="22"/>
          <w:szCs w:val="22"/>
        </w:rPr>
        <w:t xml:space="preserve"> por escrito y de manera anticipada; asimismo, en caso de que haya adecuaciones a los costos o se requieran realizar contrataciones adicionales necesarias para la operación de </w:t>
      </w:r>
      <w:r>
        <w:rPr>
          <w:rFonts w:ascii="Noto Sans" w:eastAsia="Noto Sans" w:hAnsi="Noto Sans" w:cs="Noto Sans"/>
          <w:b/>
          <w:bCs/>
          <w:sz w:val="22"/>
          <w:szCs w:val="22"/>
        </w:rPr>
        <w:t>“EL PROGRAMA”</w:t>
      </w:r>
      <w:r>
        <w:rPr>
          <w:rFonts w:ascii="Noto Sans" w:eastAsia="Noto Sans" w:hAnsi="Noto Sans" w:cs="Noto Sans"/>
          <w:sz w:val="22"/>
          <w:szCs w:val="22"/>
        </w:rPr>
        <w:t xml:space="preserve">, determinadas por </w:t>
      </w:r>
      <w:r>
        <w:rPr>
          <w:rFonts w:ascii="Noto Sans" w:eastAsia="Noto Sans" w:hAnsi="Noto Sans" w:cs="Noto Sans"/>
          <w:b/>
          <w:bCs/>
          <w:sz w:val="22"/>
          <w:szCs w:val="22"/>
        </w:rPr>
        <w:t>“SALUD”,</w:t>
      </w:r>
      <w:r>
        <w:rPr>
          <w:rFonts w:ascii="Noto Sans" w:eastAsia="Noto Sans" w:hAnsi="Noto Sans" w:cs="Noto Sans"/>
          <w:sz w:val="22"/>
          <w:szCs w:val="22"/>
        </w:rPr>
        <w:t xml:space="preserve"> deberá notificárseles</w:t>
      </w:r>
      <w:r>
        <w:rPr>
          <w:rFonts w:ascii="Noto Sans" w:eastAsia="Noto Sans" w:hAnsi="Noto Sans" w:cs="Noto Sans"/>
          <w:b/>
          <w:bCs/>
          <w:sz w:val="22"/>
          <w:szCs w:val="22"/>
        </w:rPr>
        <w:t xml:space="preserve"> </w:t>
      </w:r>
      <w:r>
        <w:rPr>
          <w:rFonts w:ascii="Noto Sans" w:eastAsia="Noto Sans" w:hAnsi="Noto Sans" w:cs="Noto Sans"/>
          <w:sz w:val="22"/>
          <w:szCs w:val="22"/>
        </w:rPr>
        <w:t>durante los primeros 20 (veinte) días hábiles de cada ejercicio fiscal</w:t>
      </w:r>
      <w:r>
        <w:rPr>
          <w:rFonts w:ascii="Noto Sans" w:eastAsia="Noto Sans" w:hAnsi="Noto Sans" w:cs="Noto Sans"/>
          <w:b/>
          <w:bCs/>
          <w:sz w:val="22"/>
          <w:szCs w:val="22"/>
        </w:rPr>
        <w:t xml:space="preserve"> </w:t>
      </w:r>
      <w:r>
        <w:rPr>
          <w:rFonts w:ascii="Noto Sans" w:eastAsia="Noto Sans" w:hAnsi="Noto Sans" w:cs="Noto Sans"/>
          <w:sz w:val="22"/>
          <w:szCs w:val="22"/>
        </w:rPr>
        <w:t xml:space="preserve">y formarán parte integral de este Anexo previo consenso y autorización de la suficiencia presupuestal respectiva por parte de </w:t>
      </w:r>
      <w:r>
        <w:rPr>
          <w:rFonts w:ascii="Noto Sans" w:eastAsia="Noto Sans" w:hAnsi="Noto Sans" w:cs="Noto Sans"/>
          <w:b/>
          <w:bCs/>
          <w:sz w:val="22"/>
          <w:szCs w:val="22"/>
        </w:rPr>
        <w:t xml:space="preserve">“IMSS-BIENESTAR”, “IMSS” </w:t>
      </w:r>
      <w:r>
        <w:rPr>
          <w:rFonts w:ascii="Noto Sans" w:eastAsia="Noto Sans" w:hAnsi="Noto Sans" w:cs="Noto Sans"/>
          <w:sz w:val="22"/>
          <w:szCs w:val="22"/>
        </w:rPr>
        <w:t xml:space="preserve">e </w:t>
      </w:r>
      <w:r>
        <w:rPr>
          <w:rFonts w:ascii="Noto Sans" w:eastAsia="Noto Sans" w:hAnsi="Noto Sans" w:cs="Noto Sans"/>
          <w:b/>
          <w:bCs/>
          <w:sz w:val="22"/>
          <w:szCs w:val="22"/>
        </w:rPr>
        <w:t>“ISSSTE”</w:t>
      </w:r>
      <w:r>
        <w:rPr>
          <w:rFonts w:ascii="Noto Sans" w:eastAsia="Noto Sans" w:hAnsi="Noto Sans" w:cs="Noto Sans"/>
          <w:sz w:val="22"/>
          <w:szCs w:val="22"/>
        </w:rPr>
        <w:t>.</w:t>
      </w:r>
    </w:p>
    <w:p w14:paraId="554631DE" w14:textId="77777777" w:rsidR="00C41D0A" w:rsidRDefault="00C41D0A">
      <w:pPr>
        <w:jc w:val="both"/>
        <w:rPr>
          <w:rFonts w:ascii="Noto Sans" w:eastAsia="Noto Sans" w:hAnsi="Noto Sans" w:cs="Noto Sans"/>
          <w:sz w:val="22"/>
          <w:szCs w:val="22"/>
        </w:rPr>
      </w:pPr>
    </w:p>
    <w:p w14:paraId="00F3EBCB"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Con los costos determinados y comunicados en los términos señalados en el párrafo anterior,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según corresponda deberán realizar el anticipo equivalente al 40% (cuarenta por ciento) del monto total con I.V.A.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a que se refiere el numeral primero de la Cláusula Quinta del Convenio de Colaboración, previa presentación por parte de </w:t>
      </w:r>
      <w:r>
        <w:rPr>
          <w:rFonts w:ascii="Noto Sans" w:eastAsia="Noto Sans" w:hAnsi="Noto Sans" w:cs="Noto Sans"/>
          <w:b/>
          <w:bCs/>
          <w:sz w:val="22"/>
          <w:szCs w:val="22"/>
        </w:rPr>
        <w:t>“BIRMEX”</w:t>
      </w:r>
      <w:r>
        <w:rPr>
          <w:rFonts w:ascii="Noto Sans" w:eastAsia="Noto Sans" w:hAnsi="Noto Sans" w:cs="Noto Sans"/>
          <w:sz w:val="22"/>
          <w:szCs w:val="22"/>
        </w:rPr>
        <w:t xml:space="preserve"> de la justificación técnica que acredite las mejores condiciones para el Estado, de acuerdo con la siguiente distribución de la población beneficiaria potencial de </w:t>
      </w:r>
      <w:r>
        <w:rPr>
          <w:rFonts w:ascii="Noto Sans" w:eastAsia="Noto Sans" w:hAnsi="Noto Sans" w:cs="Noto Sans"/>
          <w:b/>
          <w:bCs/>
          <w:sz w:val="22"/>
          <w:szCs w:val="22"/>
        </w:rPr>
        <w:t xml:space="preserve">“EL PROGRAMA” </w:t>
      </w:r>
      <w:r>
        <w:rPr>
          <w:rFonts w:ascii="Noto Sans" w:eastAsia="Noto Sans" w:hAnsi="Noto Sans" w:cs="Noto Sans"/>
          <w:sz w:val="22"/>
          <w:szCs w:val="22"/>
        </w:rPr>
        <w:t>por cada Institución:</w:t>
      </w:r>
    </w:p>
    <w:p w14:paraId="28A96B91" w14:textId="77777777" w:rsidR="00C41D0A" w:rsidRDefault="00C41D0A">
      <w:pPr>
        <w:jc w:val="both"/>
        <w:rPr>
          <w:rFonts w:ascii="Noto Sans" w:eastAsia="Noto Sans" w:hAnsi="Noto Sans" w:cs="Noto Sans"/>
          <w:sz w:val="22"/>
          <w:szCs w:val="22"/>
        </w:rPr>
      </w:pPr>
    </w:p>
    <w:p w14:paraId="06906296" w14:textId="77777777" w:rsidR="00C41D0A" w:rsidRDefault="0057227D">
      <w:pPr>
        <w:numPr>
          <w:ilvl w:val="0"/>
          <w:numId w:val="1"/>
        </w:numPr>
        <w:pBdr>
          <w:top w:val="nil"/>
          <w:left w:val="nil"/>
          <w:bottom w:val="nil"/>
          <w:right w:val="nil"/>
          <w:between w:val="nil"/>
        </w:pBdr>
        <w:jc w:val="both"/>
        <w:rPr>
          <w:rFonts w:ascii="Noto Sans" w:eastAsia="Noto Sans" w:hAnsi="Noto Sans" w:cs="Noto Sans"/>
          <w:color w:val="000000"/>
          <w:sz w:val="22"/>
          <w:szCs w:val="22"/>
        </w:rPr>
      </w:pPr>
      <w:r>
        <w:rPr>
          <w:rFonts w:ascii="Noto Sans" w:eastAsia="Noto Sans" w:hAnsi="Noto Sans" w:cs="Noto Sans"/>
          <w:b/>
          <w:bCs/>
          <w:color w:val="000000"/>
          <w:sz w:val="22"/>
          <w:szCs w:val="22"/>
        </w:rPr>
        <w:t>“IMSS-BIENESTAR”</w:t>
      </w:r>
      <w:r>
        <w:rPr>
          <w:rFonts w:ascii="Noto Sans" w:eastAsia="Noto Sans" w:hAnsi="Noto Sans" w:cs="Noto Sans"/>
          <w:color w:val="000000"/>
          <w:sz w:val="22"/>
          <w:szCs w:val="22"/>
        </w:rPr>
        <w:t>: 55%</w:t>
      </w:r>
    </w:p>
    <w:p w14:paraId="6C22C95A" w14:textId="77777777" w:rsidR="00C41D0A" w:rsidRDefault="0057227D">
      <w:pPr>
        <w:numPr>
          <w:ilvl w:val="0"/>
          <w:numId w:val="1"/>
        </w:numPr>
        <w:pBdr>
          <w:top w:val="nil"/>
          <w:left w:val="nil"/>
          <w:bottom w:val="nil"/>
          <w:right w:val="nil"/>
          <w:between w:val="nil"/>
        </w:pBdr>
        <w:jc w:val="both"/>
        <w:rPr>
          <w:rFonts w:ascii="Noto Sans" w:eastAsia="Noto Sans" w:hAnsi="Noto Sans" w:cs="Noto Sans"/>
          <w:color w:val="000000"/>
          <w:sz w:val="22"/>
          <w:szCs w:val="22"/>
        </w:rPr>
      </w:pPr>
      <w:r>
        <w:rPr>
          <w:rFonts w:ascii="Noto Sans" w:eastAsia="Noto Sans" w:hAnsi="Noto Sans" w:cs="Noto Sans"/>
          <w:b/>
          <w:bCs/>
          <w:color w:val="000000"/>
          <w:sz w:val="22"/>
          <w:szCs w:val="22"/>
        </w:rPr>
        <w:t>“IMSS”</w:t>
      </w:r>
      <w:r>
        <w:rPr>
          <w:rFonts w:ascii="Noto Sans" w:eastAsia="Noto Sans" w:hAnsi="Noto Sans" w:cs="Noto Sans"/>
          <w:color w:val="000000"/>
          <w:sz w:val="22"/>
          <w:szCs w:val="22"/>
        </w:rPr>
        <w:t>: 35%</w:t>
      </w:r>
    </w:p>
    <w:p w14:paraId="0D937460" w14:textId="77777777" w:rsidR="00C41D0A" w:rsidRDefault="0057227D">
      <w:pPr>
        <w:numPr>
          <w:ilvl w:val="0"/>
          <w:numId w:val="1"/>
        </w:numPr>
        <w:pBdr>
          <w:top w:val="nil"/>
          <w:left w:val="nil"/>
          <w:bottom w:val="nil"/>
          <w:right w:val="nil"/>
          <w:between w:val="nil"/>
        </w:pBdr>
        <w:jc w:val="both"/>
        <w:rPr>
          <w:rFonts w:ascii="Noto Sans" w:eastAsia="Noto Sans" w:hAnsi="Noto Sans" w:cs="Noto Sans"/>
          <w:color w:val="000000"/>
          <w:sz w:val="22"/>
          <w:szCs w:val="22"/>
        </w:rPr>
      </w:pPr>
      <w:r>
        <w:rPr>
          <w:rFonts w:ascii="Noto Sans" w:eastAsia="Noto Sans" w:hAnsi="Noto Sans" w:cs="Noto Sans"/>
          <w:b/>
          <w:bCs/>
          <w:color w:val="000000"/>
          <w:sz w:val="22"/>
          <w:szCs w:val="22"/>
        </w:rPr>
        <w:t>“ISSSTE”</w:t>
      </w:r>
      <w:r>
        <w:rPr>
          <w:rFonts w:ascii="Noto Sans" w:eastAsia="Noto Sans" w:hAnsi="Noto Sans" w:cs="Noto Sans"/>
          <w:color w:val="000000"/>
          <w:sz w:val="22"/>
          <w:szCs w:val="22"/>
        </w:rPr>
        <w:t>: 10%</w:t>
      </w:r>
    </w:p>
    <w:p w14:paraId="6CE44DAE" w14:textId="77777777" w:rsidR="00C41D0A" w:rsidRDefault="00C41D0A">
      <w:pPr>
        <w:jc w:val="both"/>
        <w:rPr>
          <w:rFonts w:ascii="Noto Sans" w:eastAsia="Noto Sans" w:hAnsi="Noto Sans" w:cs="Noto Sans"/>
          <w:sz w:val="22"/>
          <w:szCs w:val="22"/>
        </w:rPr>
      </w:pPr>
    </w:p>
    <w:p w14:paraId="0D84FF01"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El porcentaje señalado en el párrafo anterior podrá ser revisado y, en su caso, ajustado al inicio de cada ejercicio fiscal. Será responsabilidad de </w:t>
      </w:r>
      <w:r>
        <w:rPr>
          <w:rFonts w:ascii="Noto Sans" w:eastAsia="Noto Sans" w:hAnsi="Noto Sans" w:cs="Noto Sans"/>
          <w:b/>
          <w:bCs/>
          <w:sz w:val="22"/>
          <w:szCs w:val="22"/>
        </w:rPr>
        <w:t>“SALUD”</w:t>
      </w:r>
      <w:r>
        <w:rPr>
          <w:rFonts w:ascii="Noto Sans" w:eastAsia="Noto Sans" w:hAnsi="Noto Sans" w:cs="Noto Sans"/>
          <w:sz w:val="22"/>
          <w:szCs w:val="22"/>
        </w:rPr>
        <w:t xml:space="preserve"> determinar en conjunto con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la necesidad de realizar un ajuste a la distribución referida, de acuerdo con el despliegue de </w:t>
      </w:r>
      <w:r>
        <w:rPr>
          <w:rFonts w:ascii="Noto Sans" w:eastAsia="Noto Sans" w:hAnsi="Noto Sans" w:cs="Noto Sans"/>
          <w:b/>
          <w:bCs/>
          <w:sz w:val="22"/>
          <w:szCs w:val="22"/>
        </w:rPr>
        <w:t xml:space="preserve">“EL PROGRAMA” </w:t>
      </w:r>
      <w:r>
        <w:rPr>
          <w:rFonts w:ascii="Noto Sans" w:eastAsia="Noto Sans" w:hAnsi="Noto Sans" w:cs="Noto Sans"/>
          <w:sz w:val="22"/>
          <w:szCs w:val="22"/>
        </w:rPr>
        <w:t xml:space="preserve">y los datos de operación y consumo del año inmediato anterior. Adicionalmente,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 xml:space="preserve">“ISSSTE” </w:t>
      </w:r>
      <w:r>
        <w:rPr>
          <w:rFonts w:ascii="Noto Sans" w:eastAsia="Noto Sans" w:hAnsi="Noto Sans" w:cs="Noto Sans"/>
          <w:sz w:val="22"/>
          <w:szCs w:val="22"/>
        </w:rPr>
        <w:t xml:space="preserve">podrán solicitar a </w:t>
      </w:r>
      <w:r>
        <w:rPr>
          <w:rFonts w:ascii="Noto Sans" w:eastAsia="Noto Sans" w:hAnsi="Noto Sans" w:cs="Noto Sans"/>
          <w:b/>
          <w:bCs/>
          <w:sz w:val="22"/>
          <w:szCs w:val="22"/>
        </w:rPr>
        <w:t xml:space="preserve">“SALUD” </w:t>
      </w:r>
      <w:r>
        <w:rPr>
          <w:rFonts w:ascii="Noto Sans" w:eastAsia="Noto Sans" w:hAnsi="Noto Sans" w:cs="Noto Sans"/>
          <w:sz w:val="22"/>
          <w:szCs w:val="22"/>
        </w:rPr>
        <w:t>por escrito en los primeros 20 (veinte) días hábiles del año fiscal la revisión de esta distribución.</w:t>
      </w:r>
    </w:p>
    <w:p w14:paraId="42378754" w14:textId="77777777" w:rsidR="00C41D0A" w:rsidRDefault="00C41D0A">
      <w:pPr>
        <w:jc w:val="both"/>
        <w:rPr>
          <w:rFonts w:ascii="Noto Sans" w:eastAsia="Noto Sans" w:hAnsi="Noto Sans" w:cs="Noto Sans"/>
          <w:sz w:val="22"/>
          <w:szCs w:val="22"/>
        </w:rPr>
      </w:pPr>
    </w:p>
    <w:p w14:paraId="674F83AB"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lastRenderedPageBreak/>
        <w:t xml:space="preserve">La amortización del anticipo se realizará mediante la deducción del 10% (diez por ciento) del monto total del anticipo en cada Comprobante Fiscal Digital por Internet (CFDI) que se expida mensualmente por cada una de las contraprestaciones que realicen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a </w:t>
      </w:r>
      <w:r>
        <w:rPr>
          <w:rFonts w:ascii="Noto Sans" w:eastAsia="Noto Sans" w:hAnsi="Noto Sans" w:cs="Noto Sans"/>
          <w:b/>
          <w:bCs/>
          <w:sz w:val="22"/>
          <w:szCs w:val="22"/>
        </w:rPr>
        <w:t>“BIRMEX”</w:t>
      </w:r>
      <w:r>
        <w:rPr>
          <w:rFonts w:ascii="Noto Sans" w:eastAsia="Noto Sans" w:hAnsi="Noto Sans" w:cs="Noto Sans"/>
          <w:sz w:val="22"/>
          <w:szCs w:val="22"/>
        </w:rPr>
        <w:t xml:space="preserve"> por la prestación del </w:t>
      </w:r>
      <w:r>
        <w:rPr>
          <w:rFonts w:ascii="Noto Sans" w:eastAsia="Noto Sans" w:hAnsi="Noto Sans" w:cs="Noto Sans"/>
          <w:b/>
          <w:bCs/>
          <w:sz w:val="22"/>
          <w:szCs w:val="22"/>
        </w:rPr>
        <w:t>SERVICIO INTEGRADO</w:t>
      </w:r>
      <w:r>
        <w:rPr>
          <w:rFonts w:ascii="Noto Sans" w:eastAsia="Noto Sans" w:hAnsi="Noto Sans" w:cs="Noto Sans"/>
          <w:sz w:val="22"/>
          <w:szCs w:val="22"/>
        </w:rPr>
        <w:t xml:space="preserve"> hasta su total aplicación en un plazo de 10 (diez) meses a partir del inicio efectivo del servicio. En caso de que el monto del CFDI sea menor a la cantidad de anticipo a amortizarse, la diferencia deberá aplicarse en el siguiente mes a facturar.</w:t>
      </w:r>
    </w:p>
    <w:p w14:paraId="707B355F" w14:textId="77777777" w:rsidR="00C41D0A" w:rsidRDefault="00C41D0A">
      <w:pPr>
        <w:jc w:val="both"/>
        <w:rPr>
          <w:rFonts w:ascii="Noto Sans" w:eastAsia="Noto Sans" w:hAnsi="Noto Sans" w:cs="Noto Sans"/>
          <w:sz w:val="22"/>
          <w:szCs w:val="22"/>
        </w:rPr>
      </w:pPr>
    </w:p>
    <w:p w14:paraId="41BB8030"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Transcurrido el plazo de 10 (diez) meses referidos en el párrafo anterior, en caso de que exista saldo del anticipo pendiente por amortizar, éste deberá ser devuelto íntegramente por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en un máximo de 30 (treinta) días hábiles, contados a partir del día en el que feneció el plazo, y de acuerdo con el mecanismo que para tal efecto acuerden </w:t>
      </w:r>
      <w:r>
        <w:rPr>
          <w:rFonts w:ascii="Noto Sans" w:eastAsia="Noto Sans" w:hAnsi="Noto Sans" w:cs="Noto Sans"/>
          <w:b/>
          <w:bCs/>
          <w:sz w:val="22"/>
          <w:szCs w:val="22"/>
        </w:rPr>
        <w:t xml:space="preserve">“IMSS”, “IMSS-BIENESTAR”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 </w:t>
      </w:r>
      <w:r>
        <w:rPr>
          <w:rFonts w:ascii="Noto Sans" w:eastAsia="Noto Sans" w:hAnsi="Noto Sans" w:cs="Noto Sans"/>
          <w:sz w:val="22"/>
          <w:szCs w:val="22"/>
        </w:rPr>
        <w:t xml:space="preserve">con </w:t>
      </w:r>
      <w:r>
        <w:rPr>
          <w:rFonts w:ascii="Noto Sans" w:eastAsia="Noto Sans" w:hAnsi="Noto Sans" w:cs="Noto Sans"/>
          <w:b/>
          <w:bCs/>
          <w:sz w:val="22"/>
          <w:szCs w:val="22"/>
        </w:rPr>
        <w:t>“BIRMEX”</w:t>
      </w:r>
      <w:r>
        <w:rPr>
          <w:rFonts w:ascii="Noto Sans" w:eastAsia="Noto Sans" w:hAnsi="Noto Sans" w:cs="Noto Sans"/>
          <w:sz w:val="22"/>
          <w:szCs w:val="22"/>
        </w:rPr>
        <w:t>.</w:t>
      </w:r>
    </w:p>
    <w:p w14:paraId="513182E2" w14:textId="77777777" w:rsidR="00C41D0A" w:rsidRDefault="00C41D0A">
      <w:pPr>
        <w:jc w:val="both"/>
        <w:rPr>
          <w:rFonts w:ascii="Noto Sans" w:eastAsia="Noto Sans" w:hAnsi="Noto Sans" w:cs="Noto Sans"/>
          <w:sz w:val="22"/>
          <w:szCs w:val="22"/>
        </w:rPr>
      </w:pPr>
    </w:p>
    <w:p w14:paraId="737702F2"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Asimismo, en caso de terminación anticipada del Convenio de Colaboración, el saldo del anticipo pendiente por amortizar, deberá ser reintegrado íntegramente por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en un plazo de 30 (treinta) días hábiles, contados a partir de que surta efectos dicha terminación, y de acuerdo con el mecanismo que para tal efecto acuerden </w:t>
      </w:r>
      <w:r>
        <w:rPr>
          <w:rFonts w:ascii="Noto Sans" w:eastAsia="Noto Sans" w:hAnsi="Noto Sans" w:cs="Noto Sans"/>
          <w:b/>
          <w:bCs/>
          <w:sz w:val="22"/>
          <w:szCs w:val="22"/>
        </w:rPr>
        <w:t xml:space="preserve">“IMSS”, “IMSS-BIENESTAR” </w:t>
      </w:r>
      <w:r>
        <w:rPr>
          <w:rFonts w:ascii="Noto Sans" w:eastAsia="Noto Sans" w:hAnsi="Noto Sans" w:cs="Noto Sans"/>
          <w:sz w:val="22"/>
          <w:szCs w:val="22"/>
        </w:rPr>
        <w:t>e</w:t>
      </w:r>
      <w:r>
        <w:rPr>
          <w:rFonts w:ascii="Noto Sans" w:eastAsia="Noto Sans" w:hAnsi="Noto Sans" w:cs="Noto Sans"/>
          <w:b/>
          <w:bCs/>
          <w:sz w:val="22"/>
          <w:szCs w:val="22"/>
        </w:rPr>
        <w:t xml:space="preserve"> “ISSSTE </w:t>
      </w:r>
      <w:r>
        <w:rPr>
          <w:rFonts w:ascii="Noto Sans" w:eastAsia="Noto Sans" w:hAnsi="Noto Sans" w:cs="Noto Sans"/>
          <w:sz w:val="22"/>
          <w:szCs w:val="22"/>
        </w:rPr>
        <w:t xml:space="preserve">con </w:t>
      </w:r>
      <w:r>
        <w:rPr>
          <w:rFonts w:ascii="Noto Sans" w:eastAsia="Noto Sans" w:hAnsi="Noto Sans" w:cs="Noto Sans"/>
          <w:b/>
          <w:bCs/>
          <w:sz w:val="22"/>
          <w:szCs w:val="22"/>
        </w:rPr>
        <w:t>“BIRMEX”</w:t>
      </w:r>
      <w:r>
        <w:rPr>
          <w:rFonts w:ascii="Noto Sans" w:eastAsia="Noto Sans" w:hAnsi="Noto Sans" w:cs="Noto Sans"/>
          <w:sz w:val="22"/>
          <w:szCs w:val="22"/>
        </w:rPr>
        <w:t>.</w:t>
      </w:r>
    </w:p>
    <w:p w14:paraId="37B8FEDE" w14:textId="77777777" w:rsidR="00C41D0A" w:rsidRDefault="00C41D0A">
      <w:pPr>
        <w:jc w:val="both"/>
        <w:rPr>
          <w:rFonts w:ascii="Noto Sans" w:eastAsia="Noto Sans" w:hAnsi="Noto Sans" w:cs="Noto Sans"/>
          <w:sz w:val="22"/>
          <w:szCs w:val="22"/>
        </w:rPr>
      </w:pPr>
    </w:p>
    <w:p w14:paraId="4F16555A"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Para las contraprestaciones subsecuentes a las que se refiere el numeral segundo de la Cláusula Quinta del Convenio de Colaboración, se considerará el día de la emisión de la receta para determinar si se trata de población objetivo de </w:t>
      </w:r>
      <w:r>
        <w:rPr>
          <w:rFonts w:ascii="Noto Sans" w:eastAsia="Noto Sans" w:hAnsi="Noto Sans" w:cs="Noto Sans"/>
          <w:b/>
          <w:bCs/>
          <w:sz w:val="22"/>
          <w:szCs w:val="22"/>
        </w:rPr>
        <w:t xml:space="preserve">“IMSS-BIENESTAR” </w:t>
      </w:r>
      <w:r>
        <w:rPr>
          <w:rFonts w:ascii="Noto Sans" w:eastAsia="Noto Sans" w:hAnsi="Noto Sans" w:cs="Noto Sans"/>
          <w:sz w:val="22"/>
          <w:szCs w:val="22"/>
        </w:rPr>
        <w:t xml:space="preserve">o </w:t>
      </w:r>
      <w:proofErr w:type="spellStart"/>
      <w:r>
        <w:rPr>
          <w:rFonts w:ascii="Noto Sans" w:eastAsia="Noto Sans" w:hAnsi="Noto Sans" w:cs="Noto Sans"/>
          <w:sz w:val="22"/>
          <w:szCs w:val="22"/>
        </w:rPr>
        <w:t>derechohabiencia</w:t>
      </w:r>
      <w:proofErr w:type="spellEnd"/>
      <w:r>
        <w:rPr>
          <w:rFonts w:ascii="Noto Sans" w:eastAsia="Noto Sans" w:hAnsi="Noto Sans" w:cs="Noto Sans"/>
          <w:sz w:val="22"/>
          <w:szCs w:val="22"/>
        </w:rPr>
        <w:t xml:space="preserve"> de </w:t>
      </w:r>
      <w:r>
        <w:rPr>
          <w:rFonts w:ascii="Noto Sans" w:eastAsia="Noto Sans" w:hAnsi="Noto Sans" w:cs="Noto Sans"/>
          <w:b/>
          <w:bCs/>
          <w:sz w:val="22"/>
          <w:szCs w:val="22"/>
        </w:rPr>
        <w:t>“IMSS”</w:t>
      </w:r>
      <w:r>
        <w:rPr>
          <w:rFonts w:ascii="Noto Sans" w:eastAsia="Noto Sans" w:hAnsi="Noto Sans" w:cs="Noto Sans"/>
          <w:sz w:val="22"/>
          <w:szCs w:val="22"/>
        </w:rPr>
        <w:t xml:space="preserve"> o </w:t>
      </w:r>
      <w:r>
        <w:rPr>
          <w:rFonts w:ascii="Noto Sans" w:eastAsia="Noto Sans" w:hAnsi="Noto Sans" w:cs="Noto Sans"/>
          <w:b/>
          <w:bCs/>
          <w:sz w:val="22"/>
          <w:szCs w:val="22"/>
        </w:rPr>
        <w:t>“ISSSTE”</w:t>
      </w:r>
      <w:r>
        <w:rPr>
          <w:rFonts w:ascii="Noto Sans" w:eastAsia="Noto Sans" w:hAnsi="Noto Sans" w:cs="Noto Sans"/>
          <w:sz w:val="22"/>
          <w:szCs w:val="22"/>
        </w:rPr>
        <w:t xml:space="preserve"> a las que se les surtió medicamento durante dicho mes. Esta determinación estará a cargo de </w:t>
      </w:r>
      <w:r>
        <w:rPr>
          <w:rFonts w:ascii="Noto Sans" w:eastAsia="Noto Sans" w:hAnsi="Noto Sans" w:cs="Noto Sans"/>
          <w:b/>
          <w:bCs/>
          <w:sz w:val="22"/>
          <w:szCs w:val="22"/>
        </w:rPr>
        <w:t xml:space="preserve">“SALUD” </w:t>
      </w:r>
      <w:r>
        <w:rPr>
          <w:rFonts w:ascii="Noto Sans" w:eastAsia="Noto Sans" w:hAnsi="Noto Sans" w:cs="Noto Sans"/>
          <w:sz w:val="22"/>
          <w:szCs w:val="22"/>
        </w:rPr>
        <w:t xml:space="preserve">y deberá notificarla por escrito en los primeros cinco días hábiles del mes inmediato siguiente a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w:t>
      </w:r>
    </w:p>
    <w:p w14:paraId="26D53B35" w14:textId="77777777" w:rsidR="00C41D0A" w:rsidRDefault="00C41D0A">
      <w:pPr>
        <w:jc w:val="both"/>
        <w:rPr>
          <w:rFonts w:ascii="Noto Sans" w:eastAsia="Noto Sans" w:hAnsi="Noto Sans" w:cs="Noto Sans"/>
          <w:sz w:val="22"/>
          <w:szCs w:val="22"/>
        </w:rPr>
      </w:pPr>
    </w:p>
    <w:p w14:paraId="5D4D2E1A"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De conformidad con la disponibilidad financiera de cada institución y una vez que </w:t>
      </w:r>
      <w:r>
        <w:rPr>
          <w:rFonts w:ascii="Noto Sans" w:eastAsia="Noto Sans" w:hAnsi="Noto Sans" w:cs="Noto Sans"/>
          <w:b/>
          <w:bCs/>
          <w:sz w:val="22"/>
          <w:szCs w:val="22"/>
        </w:rPr>
        <w:t>“SALUD”</w:t>
      </w:r>
      <w:r>
        <w:rPr>
          <w:rFonts w:ascii="Noto Sans" w:eastAsia="Noto Sans" w:hAnsi="Noto Sans" w:cs="Noto Sans"/>
          <w:sz w:val="22"/>
          <w:szCs w:val="22"/>
        </w:rPr>
        <w:t xml:space="preserve"> haya efectuado la determinación en comento, “</w:t>
      </w:r>
      <w:r>
        <w:rPr>
          <w:rFonts w:ascii="Noto Sans" w:eastAsia="Noto Sans" w:hAnsi="Noto Sans" w:cs="Noto Sans"/>
          <w:b/>
          <w:bCs/>
          <w:sz w:val="22"/>
          <w:szCs w:val="22"/>
        </w:rPr>
        <w:t>BIRMEX</w:t>
      </w:r>
      <w:r>
        <w:rPr>
          <w:rFonts w:ascii="Noto Sans" w:eastAsia="Noto Sans" w:hAnsi="Noto Sans" w:cs="Noto Sans"/>
          <w:sz w:val="22"/>
          <w:szCs w:val="22"/>
        </w:rPr>
        <w:t xml:space="preserve">” emitirá mensualmente los CFDI bajo el concepto de: </w:t>
      </w:r>
      <w:r>
        <w:rPr>
          <w:rFonts w:ascii="Noto Sans" w:eastAsia="Noto Sans" w:hAnsi="Noto Sans" w:cs="Noto Sans"/>
          <w:b/>
          <w:bCs/>
          <w:sz w:val="22"/>
          <w:szCs w:val="22"/>
        </w:rPr>
        <w:t xml:space="preserve">“Prestación de SERVICIO INTEGRADO” </w:t>
      </w:r>
      <w:r>
        <w:rPr>
          <w:rFonts w:ascii="Noto Sans" w:eastAsia="Noto Sans" w:hAnsi="Noto Sans" w:cs="Noto Sans"/>
          <w:sz w:val="22"/>
          <w:szCs w:val="22"/>
        </w:rPr>
        <w:t>de cada modalidad de operación</w:t>
      </w:r>
      <w:r>
        <w:rPr>
          <w:rFonts w:ascii="Noto Sans" w:eastAsia="Noto Sans" w:hAnsi="Noto Sans" w:cs="Noto Sans"/>
          <w:b/>
          <w:bCs/>
          <w:sz w:val="22"/>
          <w:szCs w:val="22"/>
        </w:rPr>
        <w:t>.</w:t>
      </w:r>
    </w:p>
    <w:p w14:paraId="74EE9114" w14:textId="77777777" w:rsidR="00C41D0A" w:rsidRDefault="00C41D0A">
      <w:pPr>
        <w:jc w:val="both"/>
        <w:rPr>
          <w:rFonts w:ascii="Noto Sans" w:eastAsia="Noto Sans" w:hAnsi="Noto Sans" w:cs="Noto Sans"/>
          <w:sz w:val="22"/>
          <w:szCs w:val="22"/>
        </w:rPr>
      </w:pPr>
    </w:p>
    <w:p w14:paraId="7F40B335"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Para la evidencia de entrega, surtimiento o servicio aceptado que debe acompañar el CFDI de </w:t>
      </w:r>
      <w:r>
        <w:rPr>
          <w:rFonts w:ascii="Noto Sans" w:eastAsia="Noto Sans" w:hAnsi="Noto Sans" w:cs="Noto Sans"/>
          <w:b/>
          <w:bCs/>
          <w:sz w:val="22"/>
          <w:szCs w:val="22"/>
        </w:rPr>
        <w:t xml:space="preserve">“BIRMEX”, </w:t>
      </w:r>
      <w:r>
        <w:rPr>
          <w:rFonts w:ascii="Noto Sans" w:eastAsia="Noto Sans" w:hAnsi="Noto Sans" w:cs="Noto Sans"/>
          <w:sz w:val="22"/>
          <w:szCs w:val="22"/>
        </w:rPr>
        <w:t>bastará con la</w:t>
      </w:r>
      <w:r>
        <w:rPr>
          <w:rFonts w:ascii="Noto Sans" w:eastAsia="Noto Sans" w:hAnsi="Noto Sans" w:cs="Noto Sans"/>
          <w:b/>
          <w:bCs/>
          <w:sz w:val="22"/>
          <w:szCs w:val="22"/>
        </w:rPr>
        <w:t xml:space="preserve"> </w:t>
      </w:r>
      <w:r>
        <w:rPr>
          <w:rFonts w:ascii="Noto Sans" w:eastAsia="Noto Sans" w:hAnsi="Noto Sans" w:cs="Noto Sans"/>
          <w:sz w:val="22"/>
          <w:szCs w:val="22"/>
        </w:rPr>
        <w:t>relación de folios de recetas electrónicas reportadas como surtidas en el “</w:t>
      </w:r>
      <w:r>
        <w:rPr>
          <w:rFonts w:ascii="Noto Sans" w:eastAsia="Noto Sans" w:hAnsi="Noto Sans" w:cs="Noto Sans"/>
          <w:b/>
          <w:bCs/>
          <w:sz w:val="22"/>
          <w:szCs w:val="22"/>
        </w:rPr>
        <w:t xml:space="preserve">SISTEMA DE FARMACIAS DEL BIENESTAR”, </w:t>
      </w:r>
      <w:r>
        <w:rPr>
          <w:rFonts w:ascii="Noto Sans" w:eastAsia="Noto Sans" w:hAnsi="Noto Sans" w:cs="Noto Sans"/>
          <w:sz w:val="22"/>
          <w:szCs w:val="22"/>
        </w:rPr>
        <w:t xml:space="preserve">mismas que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podrán consultar y descargar para la verificación y en su caso, la formulación de las objeciones específicas y documentadas a las contraprestaciones exigidas por </w:t>
      </w:r>
      <w:r>
        <w:rPr>
          <w:rFonts w:ascii="Noto Sans" w:eastAsia="Noto Sans" w:hAnsi="Noto Sans" w:cs="Noto Sans"/>
          <w:b/>
          <w:bCs/>
          <w:sz w:val="22"/>
          <w:szCs w:val="22"/>
        </w:rPr>
        <w:t>“BIRMEX”</w:t>
      </w:r>
      <w:r>
        <w:rPr>
          <w:rFonts w:ascii="Noto Sans" w:eastAsia="Noto Sans" w:hAnsi="Noto Sans" w:cs="Noto Sans"/>
          <w:sz w:val="22"/>
          <w:szCs w:val="22"/>
        </w:rPr>
        <w:t xml:space="preserve">. La relación de folios deberá contener la institución, folio de receta, clave de medicamento, cantidad y fecha de entrega. </w:t>
      </w:r>
    </w:p>
    <w:p w14:paraId="7027FDB3" w14:textId="77777777" w:rsidR="00C41D0A" w:rsidRDefault="00C41D0A">
      <w:pPr>
        <w:jc w:val="both"/>
        <w:rPr>
          <w:rFonts w:ascii="Noto Sans" w:eastAsia="Noto Sans" w:hAnsi="Noto Sans" w:cs="Noto Sans"/>
          <w:sz w:val="22"/>
          <w:szCs w:val="22"/>
        </w:rPr>
      </w:pPr>
    </w:p>
    <w:p w14:paraId="493CA933"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lastRenderedPageBreak/>
        <w:t xml:space="preserve">Para la formulación de objeciones,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contarán, a partir de la emisión del CFDI, con 5 (cinco) días hábiles para formularlas. Transcurrido dicho plazo sin objeción se tendrá por aceptado el monto de la contraprestación, para efectos administrativos. En caso de haber objeciones, </w:t>
      </w:r>
      <w:r>
        <w:rPr>
          <w:rFonts w:ascii="Noto Sans" w:eastAsia="Noto Sans" w:hAnsi="Noto Sans" w:cs="Noto Sans"/>
          <w:b/>
          <w:bCs/>
          <w:sz w:val="22"/>
          <w:szCs w:val="22"/>
        </w:rPr>
        <w:t xml:space="preserve">“BIRMEX” </w:t>
      </w:r>
      <w:r>
        <w:rPr>
          <w:rFonts w:ascii="Noto Sans" w:eastAsia="Noto Sans" w:hAnsi="Noto Sans" w:cs="Noto Sans"/>
          <w:sz w:val="22"/>
          <w:szCs w:val="22"/>
        </w:rPr>
        <w:t xml:space="preserve">emitirá un nuevo CFDI por la porción no controvertida, de la cual deberá realizarse la contraprestación dentro de los 20 (veinte) días hábiles siguientes a la recepción del CFDI y sus soportes. Por su parte, la porción controvertida deberá dirimirse dentro de los 5 (cinco) días hábiles siguientes. Transcurrido dicho plazo, </w:t>
      </w:r>
      <w:r>
        <w:rPr>
          <w:rFonts w:ascii="Noto Sans" w:eastAsia="Noto Sans" w:hAnsi="Noto Sans" w:cs="Noto Sans"/>
          <w:b/>
          <w:bCs/>
          <w:sz w:val="22"/>
          <w:szCs w:val="22"/>
        </w:rPr>
        <w:t xml:space="preserve">“BIRMEX” </w:t>
      </w:r>
      <w:r>
        <w:rPr>
          <w:rFonts w:ascii="Noto Sans" w:eastAsia="Noto Sans" w:hAnsi="Noto Sans" w:cs="Noto Sans"/>
          <w:sz w:val="22"/>
          <w:szCs w:val="22"/>
        </w:rPr>
        <w:t>emitirá un nuevo CFDI por la porción aclarada.</w:t>
      </w:r>
    </w:p>
    <w:p w14:paraId="3733D608" w14:textId="77777777" w:rsidR="00C41D0A" w:rsidRDefault="00C41D0A">
      <w:pPr>
        <w:jc w:val="both"/>
        <w:rPr>
          <w:rFonts w:ascii="Noto Sans" w:eastAsia="Noto Sans" w:hAnsi="Noto Sans" w:cs="Noto Sans"/>
          <w:sz w:val="22"/>
          <w:szCs w:val="22"/>
        </w:rPr>
      </w:pPr>
    </w:p>
    <w:p w14:paraId="5AA6B5D7"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 xml:space="preserve">La contraprestación a cargo de </w:t>
      </w:r>
      <w:r>
        <w:rPr>
          <w:rFonts w:ascii="Noto Sans" w:eastAsia="Noto Sans" w:hAnsi="Noto Sans" w:cs="Noto Sans"/>
          <w:b/>
          <w:bCs/>
          <w:sz w:val="22"/>
          <w:szCs w:val="22"/>
        </w:rPr>
        <w:t>“IMSS-BIENESTAR”</w:t>
      </w:r>
      <w:r>
        <w:rPr>
          <w:rFonts w:ascii="Noto Sans" w:eastAsia="Noto Sans" w:hAnsi="Noto Sans" w:cs="Noto Sans"/>
          <w:sz w:val="22"/>
          <w:szCs w:val="22"/>
        </w:rPr>
        <w:t>,</w:t>
      </w:r>
      <w:r>
        <w:rPr>
          <w:rFonts w:ascii="Noto Sans" w:eastAsia="Noto Sans" w:hAnsi="Noto Sans" w:cs="Noto Sans"/>
          <w:b/>
          <w:bCs/>
          <w:sz w:val="22"/>
          <w:szCs w:val="22"/>
        </w:rPr>
        <w:t xml:space="preserve"> “IMSS”</w:t>
      </w:r>
      <w:r>
        <w:rPr>
          <w:rFonts w:ascii="Noto Sans" w:eastAsia="Noto Sans" w:hAnsi="Noto Sans" w:cs="Noto Sans"/>
          <w:sz w:val="22"/>
          <w:szCs w:val="22"/>
        </w:rPr>
        <w:t xml:space="preserve"> e </w:t>
      </w:r>
      <w:r>
        <w:rPr>
          <w:rFonts w:ascii="Noto Sans" w:eastAsia="Noto Sans" w:hAnsi="Noto Sans" w:cs="Noto Sans"/>
          <w:b/>
          <w:bCs/>
          <w:sz w:val="22"/>
          <w:szCs w:val="22"/>
        </w:rPr>
        <w:t>“ISSSTE”</w:t>
      </w:r>
      <w:r>
        <w:rPr>
          <w:rFonts w:ascii="Noto Sans" w:eastAsia="Noto Sans" w:hAnsi="Noto Sans" w:cs="Noto Sans"/>
          <w:sz w:val="22"/>
          <w:szCs w:val="22"/>
        </w:rPr>
        <w:t xml:space="preserve"> se determinará de conformidad con los costos del </w:t>
      </w:r>
      <w:r>
        <w:rPr>
          <w:rFonts w:ascii="Noto Sans" w:eastAsia="Noto Sans" w:hAnsi="Noto Sans" w:cs="Noto Sans"/>
          <w:b/>
          <w:bCs/>
          <w:sz w:val="22"/>
          <w:szCs w:val="22"/>
        </w:rPr>
        <w:t xml:space="preserve">“SERVICIO INTEGRADO” </w:t>
      </w:r>
      <w:r>
        <w:rPr>
          <w:rFonts w:ascii="Noto Sans" w:eastAsia="Noto Sans" w:hAnsi="Noto Sans" w:cs="Noto Sans"/>
          <w:sz w:val="22"/>
          <w:szCs w:val="22"/>
        </w:rPr>
        <w:t>establecidas en el presente anexo por cada una de las modalidades de operación. Dicho costo integra la provisión de medicamentos y las acciones técnicas, logísticas, de infraestructura y de equipamiento tecnológico necesarias para asegurar el suministro, almacenamiento, abastecimiento, distribución, resguardo y entrega del medicamento,</w:t>
      </w:r>
      <w:r>
        <w:rPr>
          <w:rFonts w:ascii="Noto Sans" w:eastAsia="Noto Sans" w:hAnsi="Noto Sans" w:cs="Noto Sans"/>
          <w:b/>
          <w:bCs/>
          <w:sz w:val="22"/>
          <w:szCs w:val="22"/>
        </w:rPr>
        <w:t xml:space="preserve"> </w:t>
      </w:r>
      <w:r>
        <w:rPr>
          <w:rFonts w:ascii="Noto Sans" w:eastAsia="Noto Sans" w:hAnsi="Noto Sans" w:cs="Noto Sans"/>
          <w:sz w:val="22"/>
          <w:szCs w:val="22"/>
        </w:rPr>
        <w:t xml:space="preserve">en las </w:t>
      </w:r>
      <w:r>
        <w:rPr>
          <w:rFonts w:ascii="Noto Sans" w:eastAsia="Noto Sans" w:hAnsi="Noto Sans" w:cs="Noto Sans"/>
          <w:b/>
          <w:bCs/>
          <w:sz w:val="22"/>
          <w:szCs w:val="22"/>
        </w:rPr>
        <w:t xml:space="preserve">“FARMACIAS DEL BIENESTAR” </w:t>
      </w:r>
      <w:r>
        <w:rPr>
          <w:rFonts w:ascii="Noto Sans" w:eastAsia="Noto Sans" w:hAnsi="Noto Sans" w:cs="Noto Sans"/>
          <w:sz w:val="22"/>
          <w:szCs w:val="22"/>
        </w:rPr>
        <w:t xml:space="preserve">bajo las modalidades de </w:t>
      </w:r>
      <w:r>
        <w:rPr>
          <w:rFonts w:ascii="Noto Sans" w:eastAsia="Noto Sans" w:hAnsi="Noto Sans" w:cs="Noto Sans"/>
          <w:b/>
          <w:bCs/>
          <w:sz w:val="22"/>
          <w:szCs w:val="22"/>
        </w:rPr>
        <w:t>“TIENDAS BIENESTAR”</w:t>
      </w:r>
      <w:r>
        <w:rPr>
          <w:rFonts w:ascii="Noto Sans" w:eastAsia="Noto Sans" w:hAnsi="Noto Sans" w:cs="Noto Sans"/>
          <w:sz w:val="22"/>
          <w:szCs w:val="22"/>
        </w:rPr>
        <w:t xml:space="preserve"> y </w:t>
      </w:r>
      <w:r>
        <w:rPr>
          <w:rFonts w:ascii="Noto Sans" w:eastAsia="Noto Sans" w:hAnsi="Noto Sans" w:cs="Noto Sans"/>
          <w:b/>
          <w:bCs/>
          <w:sz w:val="22"/>
          <w:szCs w:val="22"/>
        </w:rPr>
        <w:t>“MÁQUINAS DESPACHADORAS”</w:t>
      </w:r>
      <w:r>
        <w:rPr>
          <w:rFonts w:ascii="Noto Sans" w:eastAsia="Noto Sans" w:hAnsi="Noto Sans" w:cs="Noto Sans"/>
          <w:sz w:val="22"/>
          <w:szCs w:val="22"/>
        </w:rPr>
        <w:t>.</w:t>
      </w:r>
    </w:p>
    <w:p w14:paraId="489AD724" w14:textId="77777777" w:rsidR="00C41D0A" w:rsidRDefault="00C41D0A">
      <w:pPr>
        <w:jc w:val="both"/>
        <w:rPr>
          <w:rFonts w:ascii="Noto Sans" w:eastAsia="Noto Sans" w:hAnsi="Noto Sans" w:cs="Noto Sans"/>
          <w:sz w:val="22"/>
          <w:szCs w:val="22"/>
        </w:rPr>
      </w:pPr>
    </w:p>
    <w:p w14:paraId="773C5857" w14:textId="77777777" w:rsidR="00C41D0A" w:rsidRDefault="0057227D">
      <w:pPr>
        <w:jc w:val="both"/>
        <w:rPr>
          <w:rFonts w:ascii="Noto Sans" w:eastAsia="Noto Sans" w:hAnsi="Noto Sans" w:cs="Noto Sans"/>
          <w:sz w:val="22"/>
          <w:szCs w:val="22"/>
        </w:rPr>
      </w:pPr>
      <w:r>
        <w:rPr>
          <w:rFonts w:ascii="Noto Sans" w:eastAsia="Noto Sans" w:hAnsi="Noto Sans" w:cs="Noto Sans"/>
          <w:color w:val="000000"/>
          <w:sz w:val="22"/>
          <w:szCs w:val="22"/>
        </w:rPr>
        <w:t>Las cuotas proyectadas para los ejercicios 2026 a 2030 se entienden como tarifas estimadas de referencia por servicio, y quedarán sujetas a su compromiso correspondiente y a la suficiencia presupuestaria autorizada en cada ejercicio fiscal respectivo, de conformidad con el Presupuesto de Egresos de la Federación que corresponda.</w:t>
      </w:r>
    </w:p>
    <w:p w14:paraId="611600C2" w14:textId="77777777" w:rsidR="00C41D0A" w:rsidRDefault="00C41D0A">
      <w:pPr>
        <w:jc w:val="both"/>
        <w:rPr>
          <w:rFonts w:ascii="Noto Sans" w:eastAsia="Noto Sans" w:hAnsi="Noto Sans" w:cs="Noto Sans"/>
          <w:sz w:val="22"/>
          <w:szCs w:val="22"/>
        </w:rPr>
      </w:pPr>
    </w:p>
    <w:p w14:paraId="2427F5C2" w14:textId="77777777" w:rsidR="00C41D0A" w:rsidRDefault="0057227D">
      <w:pPr>
        <w:jc w:val="both"/>
        <w:rPr>
          <w:rFonts w:ascii="Noto Sans" w:eastAsia="Noto Sans" w:hAnsi="Noto Sans" w:cs="Noto Sans"/>
          <w:sz w:val="22"/>
          <w:szCs w:val="22"/>
        </w:rPr>
      </w:pPr>
      <w:r>
        <w:rPr>
          <w:rFonts w:ascii="Noto Sans" w:eastAsia="Noto Sans" w:hAnsi="Noto Sans" w:cs="Noto Sans"/>
          <w:sz w:val="22"/>
          <w:szCs w:val="22"/>
        </w:rPr>
        <w:t>Las contraprestaciones que por su naturaleza deban subsistir, continuarán vigentes exclusivamente para efectos de su liquidación administrativa después de la terminación del Convenio.</w:t>
      </w:r>
    </w:p>
    <w:p w14:paraId="2C0BE0CE" w14:textId="77777777" w:rsidR="00C41D0A" w:rsidRDefault="00C41D0A">
      <w:pPr>
        <w:spacing w:after="160" w:line="278" w:lineRule="auto"/>
        <w:rPr>
          <w:rFonts w:ascii="Noto Sans" w:eastAsia="Noto Sans" w:hAnsi="Noto Sans" w:cs="Noto Sans"/>
          <w:sz w:val="22"/>
          <w:szCs w:val="22"/>
        </w:rPr>
      </w:pPr>
    </w:p>
    <w:p w14:paraId="5EBC03B2" w14:textId="77777777" w:rsidR="00C41D0A" w:rsidRDefault="00C41D0A">
      <w:pPr>
        <w:spacing w:after="160" w:line="278" w:lineRule="auto"/>
        <w:rPr>
          <w:rFonts w:ascii="Noto Sans" w:eastAsia="Noto Sans" w:hAnsi="Noto Sans" w:cs="Noto Sans"/>
          <w:sz w:val="22"/>
          <w:szCs w:val="22"/>
        </w:rPr>
      </w:pPr>
    </w:p>
    <w:p w14:paraId="6DE69ABA" w14:textId="77777777" w:rsidR="00C41D0A" w:rsidRDefault="00C41D0A">
      <w:pPr>
        <w:spacing w:after="160" w:line="278" w:lineRule="auto"/>
        <w:rPr>
          <w:rFonts w:ascii="Noto Sans" w:eastAsia="Noto Sans" w:hAnsi="Noto Sans" w:cs="Noto Sans"/>
          <w:sz w:val="22"/>
          <w:szCs w:val="22"/>
        </w:rPr>
      </w:pPr>
    </w:p>
    <w:p w14:paraId="42CAD452" w14:textId="77777777" w:rsidR="00C41D0A" w:rsidRDefault="00C41D0A">
      <w:pPr>
        <w:spacing w:after="160" w:line="278" w:lineRule="auto"/>
        <w:rPr>
          <w:rFonts w:ascii="Noto Sans" w:eastAsia="Noto Sans" w:hAnsi="Noto Sans" w:cs="Noto Sans"/>
          <w:sz w:val="22"/>
          <w:szCs w:val="22"/>
        </w:rPr>
      </w:pPr>
    </w:p>
    <w:p w14:paraId="7A402647" w14:textId="77777777" w:rsidR="00C41D0A" w:rsidRDefault="0057227D">
      <w:pPr>
        <w:spacing w:after="160" w:line="278" w:lineRule="auto"/>
        <w:rPr>
          <w:rFonts w:ascii="Noto Sans" w:eastAsia="Noto Sans" w:hAnsi="Noto Sans" w:cs="Noto Sans"/>
          <w:sz w:val="22"/>
          <w:szCs w:val="22"/>
        </w:rPr>
      </w:pPr>
      <w:r>
        <w:br w:type="page"/>
      </w:r>
    </w:p>
    <w:p w14:paraId="0A095F7E" w14:textId="77777777" w:rsidR="00C41D0A" w:rsidRDefault="0057227D">
      <w:pPr>
        <w:spacing w:after="160" w:line="278" w:lineRule="auto"/>
        <w:jc w:val="center"/>
        <w:rPr>
          <w:rFonts w:ascii="Noto Sans" w:eastAsia="Noto Sans" w:hAnsi="Noto Sans" w:cs="Noto Sans"/>
          <w:sz w:val="22"/>
          <w:szCs w:val="22"/>
        </w:rPr>
      </w:pPr>
      <w:r>
        <w:rPr>
          <w:rFonts w:ascii="Noto Sans" w:eastAsia="Noto Sans" w:hAnsi="Noto Sans" w:cs="Noto Sans"/>
          <w:sz w:val="22"/>
          <w:szCs w:val="22"/>
        </w:rPr>
        <w:lastRenderedPageBreak/>
        <w:t xml:space="preserve">Demanda y costo estimado por año para Modalidad de operación </w:t>
      </w:r>
      <w:r>
        <w:rPr>
          <w:rFonts w:ascii="Noto Sans" w:eastAsia="Noto Sans" w:hAnsi="Noto Sans" w:cs="Noto Sans"/>
          <w:b/>
          <w:bCs/>
          <w:sz w:val="22"/>
          <w:szCs w:val="22"/>
        </w:rPr>
        <w:t>“TIENDAS BIENESTAR” (Esta demanda puede modificarse de acuerdo a la planeación de SALUD)</w:t>
      </w:r>
    </w:p>
    <w:tbl>
      <w:tblPr>
        <w:tblStyle w:val="a2"/>
        <w:tblW w:w="11198"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2977"/>
        <w:gridCol w:w="1276"/>
        <w:gridCol w:w="1417"/>
        <w:gridCol w:w="1418"/>
        <w:gridCol w:w="1417"/>
        <w:gridCol w:w="1418"/>
      </w:tblGrid>
      <w:tr w:rsidR="00C41D0A" w14:paraId="61182CBD" w14:textId="77777777">
        <w:trPr>
          <w:trHeight w:val="460"/>
        </w:trPr>
        <w:tc>
          <w:tcPr>
            <w:tcW w:w="1276" w:type="dxa"/>
            <w:tcBorders>
              <w:top w:val="single" w:sz="4" w:space="0" w:color="FFFFFF"/>
              <w:left w:val="single" w:sz="4" w:space="0" w:color="FFFFFF"/>
              <w:right w:val="single" w:sz="4" w:space="0" w:color="FFFFFF"/>
            </w:tcBorders>
            <w:vAlign w:val="center"/>
          </w:tcPr>
          <w:p w14:paraId="24A11541" w14:textId="77777777" w:rsidR="00C41D0A" w:rsidRDefault="00C41D0A">
            <w:pPr>
              <w:jc w:val="center"/>
              <w:rPr>
                <w:rFonts w:ascii="Noto Sans" w:eastAsia="Noto Sans" w:hAnsi="Noto Sans" w:cs="Noto Sans"/>
                <w:b/>
                <w:bCs/>
                <w:color w:val="FFFFFF"/>
                <w:sz w:val="16"/>
                <w:szCs w:val="16"/>
              </w:rPr>
            </w:pPr>
          </w:p>
        </w:tc>
        <w:tc>
          <w:tcPr>
            <w:tcW w:w="2977" w:type="dxa"/>
            <w:tcBorders>
              <w:top w:val="single" w:sz="4" w:space="0" w:color="FFFFFF"/>
              <w:left w:val="single" w:sz="4" w:space="0" w:color="FFFFFF"/>
            </w:tcBorders>
            <w:vAlign w:val="center"/>
          </w:tcPr>
          <w:p w14:paraId="52B92618" w14:textId="77777777" w:rsidR="00C41D0A" w:rsidRDefault="00C41D0A">
            <w:pPr>
              <w:jc w:val="center"/>
              <w:rPr>
                <w:rFonts w:ascii="Noto Sans" w:eastAsia="Noto Sans" w:hAnsi="Noto Sans" w:cs="Noto Sans"/>
                <w:b/>
                <w:bCs/>
                <w:color w:val="FFFFFF"/>
                <w:sz w:val="16"/>
                <w:szCs w:val="16"/>
              </w:rPr>
            </w:pPr>
          </w:p>
        </w:tc>
        <w:tc>
          <w:tcPr>
            <w:tcW w:w="6946" w:type="dxa"/>
            <w:gridSpan w:val="5"/>
            <w:shd w:val="clear" w:color="auto" w:fill="595959"/>
            <w:vAlign w:val="center"/>
          </w:tcPr>
          <w:p w14:paraId="23F74B80"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VOLUMEN  (PIEZAS)</w:t>
            </w:r>
          </w:p>
        </w:tc>
      </w:tr>
      <w:tr w:rsidR="00C41D0A" w14:paraId="0770065E" w14:textId="77777777">
        <w:trPr>
          <w:trHeight w:val="460"/>
        </w:trPr>
        <w:tc>
          <w:tcPr>
            <w:tcW w:w="1276" w:type="dxa"/>
            <w:shd w:val="clear" w:color="auto" w:fill="595959"/>
            <w:vAlign w:val="center"/>
          </w:tcPr>
          <w:p w14:paraId="7779342F"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Clave</w:t>
            </w:r>
          </w:p>
        </w:tc>
        <w:tc>
          <w:tcPr>
            <w:tcW w:w="2977" w:type="dxa"/>
            <w:shd w:val="clear" w:color="auto" w:fill="595959"/>
            <w:vAlign w:val="center"/>
          </w:tcPr>
          <w:p w14:paraId="7FD3F3FE"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Descripción</w:t>
            </w:r>
          </w:p>
        </w:tc>
        <w:tc>
          <w:tcPr>
            <w:tcW w:w="1276" w:type="dxa"/>
            <w:shd w:val="clear" w:color="auto" w:fill="595959"/>
            <w:vAlign w:val="center"/>
          </w:tcPr>
          <w:p w14:paraId="01446079"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 xml:space="preserve">2026 </w:t>
            </w:r>
          </w:p>
        </w:tc>
        <w:tc>
          <w:tcPr>
            <w:tcW w:w="1417" w:type="dxa"/>
            <w:shd w:val="clear" w:color="auto" w:fill="595959"/>
            <w:vAlign w:val="center"/>
          </w:tcPr>
          <w:p w14:paraId="3735A58D"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2027</w:t>
            </w:r>
          </w:p>
        </w:tc>
        <w:tc>
          <w:tcPr>
            <w:tcW w:w="1418" w:type="dxa"/>
            <w:shd w:val="clear" w:color="auto" w:fill="595959"/>
            <w:vAlign w:val="center"/>
          </w:tcPr>
          <w:p w14:paraId="201CD06B"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2028</w:t>
            </w:r>
          </w:p>
        </w:tc>
        <w:tc>
          <w:tcPr>
            <w:tcW w:w="1417" w:type="dxa"/>
            <w:shd w:val="clear" w:color="auto" w:fill="595959"/>
            <w:vAlign w:val="center"/>
          </w:tcPr>
          <w:p w14:paraId="0C744EAC"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2029</w:t>
            </w:r>
          </w:p>
        </w:tc>
        <w:tc>
          <w:tcPr>
            <w:tcW w:w="1418" w:type="dxa"/>
            <w:shd w:val="clear" w:color="auto" w:fill="595959"/>
            <w:vAlign w:val="center"/>
          </w:tcPr>
          <w:p w14:paraId="64FADFFE"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2030</w:t>
            </w:r>
          </w:p>
        </w:tc>
      </w:tr>
      <w:tr w:rsidR="00C41D0A" w14:paraId="274C3AB7" w14:textId="77777777">
        <w:trPr>
          <w:trHeight w:val="300"/>
        </w:trPr>
        <w:tc>
          <w:tcPr>
            <w:tcW w:w="1276" w:type="dxa"/>
            <w:vAlign w:val="center"/>
          </w:tcPr>
          <w:p w14:paraId="6FB0F79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010.000.5165.00</w:t>
            </w:r>
          </w:p>
        </w:tc>
        <w:tc>
          <w:tcPr>
            <w:tcW w:w="2977" w:type="dxa"/>
            <w:vAlign w:val="center"/>
          </w:tcPr>
          <w:p w14:paraId="731886CB"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METFORMINA. TABLETA CADA TABLETA CONTIENE: CLORHIDRATO DE METFORMINA 850 MG. ENVASE CON 30 TABLETAS.</w:t>
            </w:r>
          </w:p>
        </w:tc>
        <w:tc>
          <w:tcPr>
            <w:tcW w:w="1276" w:type="dxa"/>
            <w:vAlign w:val="center"/>
          </w:tcPr>
          <w:p w14:paraId="0EF819A7"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2,028,586</w:t>
            </w:r>
          </w:p>
        </w:tc>
        <w:tc>
          <w:tcPr>
            <w:tcW w:w="1417" w:type="dxa"/>
            <w:vAlign w:val="center"/>
          </w:tcPr>
          <w:p w14:paraId="5EFCD18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8,114,344</w:t>
            </w:r>
          </w:p>
        </w:tc>
        <w:tc>
          <w:tcPr>
            <w:tcW w:w="1418" w:type="dxa"/>
            <w:vAlign w:val="center"/>
          </w:tcPr>
          <w:p w14:paraId="23FF8BF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8,925,779</w:t>
            </w:r>
          </w:p>
        </w:tc>
        <w:tc>
          <w:tcPr>
            <w:tcW w:w="1417" w:type="dxa"/>
            <w:vAlign w:val="center"/>
          </w:tcPr>
          <w:p w14:paraId="1DA9BE6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9,818,357</w:t>
            </w:r>
          </w:p>
        </w:tc>
        <w:tc>
          <w:tcPr>
            <w:tcW w:w="1418" w:type="dxa"/>
            <w:vAlign w:val="center"/>
          </w:tcPr>
          <w:p w14:paraId="13FB35D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10,800,193</w:t>
            </w:r>
          </w:p>
        </w:tc>
      </w:tr>
      <w:tr w:rsidR="00C41D0A" w14:paraId="1A9CEABE" w14:textId="77777777">
        <w:trPr>
          <w:trHeight w:val="300"/>
        </w:trPr>
        <w:tc>
          <w:tcPr>
            <w:tcW w:w="1276" w:type="dxa"/>
            <w:vAlign w:val="center"/>
          </w:tcPr>
          <w:p w14:paraId="32754344"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010.000.5621.00</w:t>
            </w:r>
          </w:p>
        </w:tc>
        <w:tc>
          <w:tcPr>
            <w:tcW w:w="2977" w:type="dxa"/>
            <w:vAlign w:val="center"/>
          </w:tcPr>
          <w:p w14:paraId="57A257C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LINAGLIPTINA. TABLETA. CADA TABLETA CONTIENE: LINAGLIPTINA 5 MG. ENVASE CON 30 TABLETAS.</w:t>
            </w:r>
          </w:p>
        </w:tc>
        <w:tc>
          <w:tcPr>
            <w:tcW w:w="1276" w:type="dxa"/>
            <w:vAlign w:val="center"/>
          </w:tcPr>
          <w:p w14:paraId="0A0F33FC"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172,345</w:t>
            </w:r>
          </w:p>
        </w:tc>
        <w:tc>
          <w:tcPr>
            <w:tcW w:w="1417" w:type="dxa"/>
            <w:vAlign w:val="center"/>
          </w:tcPr>
          <w:p w14:paraId="0449FC3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689,380</w:t>
            </w:r>
          </w:p>
        </w:tc>
        <w:tc>
          <w:tcPr>
            <w:tcW w:w="1418" w:type="dxa"/>
            <w:vAlign w:val="center"/>
          </w:tcPr>
          <w:p w14:paraId="255E00F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758,318</w:t>
            </w:r>
          </w:p>
        </w:tc>
        <w:tc>
          <w:tcPr>
            <w:tcW w:w="1417" w:type="dxa"/>
            <w:vAlign w:val="center"/>
          </w:tcPr>
          <w:p w14:paraId="2257803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834,150</w:t>
            </w:r>
          </w:p>
        </w:tc>
        <w:tc>
          <w:tcPr>
            <w:tcW w:w="1418" w:type="dxa"/>
            <w:vAlign w:val="center"/>
          </w:tcPr>
          <w:p w14:paraId="11DE5CD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917,565</w:t>
            </w:r>
          </w:p>
        </w:tc>
      </w:tr>
      <w:tr w:rsidR="00C41D0A" w14:paraId="7E0FDC44" w14:textId="77777777">
        <w:trPr>
          <w:trHeight w:val="300"/>
        </w:trPr>
        <w:tc>
          <w:tcPr>
            <w:tcW w:w="1276" w:type="dxa"/>
            <w:vAlign w:val="center"/>
          </w:tcPr>
          <w:p w14:paraId="10E642C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010.000.6007.01</w:t>
            </w:r>
          </w:p>
        </w:tc>
        <w:tc>
          <w:tcPr>
            <w:tcW w:w="2977" w:type="dxa"/>
            <w:vAlign w:val="center"/>
          </w:tcPr>
          <w:p w14:paraId="6C9DB31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DAPAGLIFLOZINA. TABLETA. CADA TABLETA CONTIENE: DAPAGLIFLOZINA PROPANODIOL EQUIVALENTE A 10 MG DE DAPAGLIFLOZINA. ENVASE CON 28 TABLETAS.</w:t>
            </w:r>
          </w:p>
        </w:tc>
        <w:tc>
          <w:tcPr>
            <w:tcW w:w="1276" w:type="dxa"/>
            <w:vAlign w:val="center"/>
          </w:tcPr>
          <w:p w14:paraId="78EDA7BE"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178,902</w:t>
            </w:r>
          </w:p>
        </w:tc>
        <w:tc>
          <w:tcPr>
            <w:tcW w:w="1417" w:type="dxa"/>
            <w:vAlign w:val="center"/>
          </w:tcPr>
          <w:p w14:paraId="50490B0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715,608</w:t>
            </w:r>
          </w:p>
        </w:tc>
        <w:tc>
          <w:tcPr>
            <w:tcW w:w="1418" w:type="dxa"/>
            <w:vAlign w:val="center"/>
          </w:tcPr>
          <w:p w14:paraId="1D39C24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787,169</w:t>
            </w:r>
          </w:p>
        </w:tc>
        <w:tc>
          <w:tcPr>
            <w:tcW w:w="1417" w:type="dxa"/>
            <w:vAlign w:val="center"/>
          </w:tcPr>
          <w:p w14:paraId="4BDEB50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865,886</w:t>
            </w:r>
          </w:p>
        </w:tc>
        <w:tc>
          <w:tcPr>
            <w:tcW w:w="1418" w:type="dxa"/>
            <w:vAlign w:val="center"/>
          </w:tcPr>
          <w:p w14:paraId="39D3667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952,475</w:t>
            </w:r>
          </w:p>
        </w:tc>
      </w:tr>
      <w:tr w:rsidR="00C41D0A" w14:paraId="52451304" w14:textId="77777777">
        <w:trPr>
          <w:trHeight w:val="300"/>
        </w:trPr>
        <w:tc>
          <w:tcPr>
            <w:tcW w:w="1276" w:type="dxa"/>
            <w:vAlign w:val="center"/>
          </w:tcPr>
          <w:p w14:paraId="41821D81"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010.000.1042.00</w:t>
            </w:r>
          </w:p>
        </w:tc>
        <w:tc>
          <w:tcPr>
            <w:tcW w:w="2977" w:type="dxa"/>
            <w:vAlign w:val="center"/>
          </w:tcPr>
          <w:p w14:paraId="37B2C0F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GLIBENCLAMIDA. TABLETA CADA TABLETA CONTIENE: GLIBENCLAMIDA 5 MG. ENVASE CON 50 TABLETAS.</w:t>
            </w:r>
          </w:p>
        </w:tc>
        <w:tc>
          <w:tcPr>
            <w:tcW w:w="1276" w:type="dxa"/>
            <w:vAlign w:val="center"/>
          </w:tcPr>
          <w:p w14:paraId="5FA2B606"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207,881</w:t>
            </w:r>
          </w:p>
        </w:tc>
        <w:tc>
          <w:tcPr>
            <w:tcW w:w="1417" w:type="dxa"/>
            <w:vAlign w:val="center"/>
          </w:tcPr>
          <w:p w14:paraId="002DF7A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831,524</w:t>
            </w:r>
          </w:p>
        </w:tc>
        <w:tc>
          <w:tcPr>
            <w:tcW w:w="1418" w:type="dxa"/>
            <w:vAlign w:val="center"/>
          </w:tcPr>
          <w:p w14:paraId="7E824B4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914,677</w:t>
            </w:r>
          </w:p>
        </w:tc>
        <w:tc>
          <w:tcPr>
            <w:tcW w:w="1417" w:type="dxa"/>
            <w:vAlign w:val="center"/>
          </w:tcPr>
          <w:p w14:paraId="678E066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1,006,145</w:t>
            </w:r>
          </w:p>
        </w:tc>
        <w:tc>
          <w:tcPr>
            <w:tcW w:w="1418" w:type="dxa"/>
            <w:vAlign w:val="center"/>
          </w:tcPr>
          <w:p w14:paraId="4E98AD8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1,106,760</w:t>
            </w:r>
          </w:p>
        </w:tc>
      </w:tr>
      <w:tr w:rsidR="00C41D0A" w14:paraId="4254081A" w14:textId="77777777">
        <w:trPr>
          <w:trHeight w:val="300"/>
        </w:trPr>
        <w:tc>
          <w:tcPr>
            <w:tcW w:w="1276" w:type="dxa"/>
            <w:vAlign w:val="center"/>
          </w:tcPr>
          <w:p w14:paraId="3EF7628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010.000.4152.01</w:t>
            </w:r>
          </w:p>
        </w:tc>
        <w:tc>
          <w:tcPr>
            <w:tcW w:w="2977" w:type="dxa"/>
            <w:vAlign w:val="center"/>
          </w:tcPr>
          <w:p w14:paraId="338BF2B1"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SITAGLIPTINA. COMPRIMIDO CADA COMPRIMIDO CONTIENE: FOSFATO DE SITAGLIPTINAMONOHIDRATADA EQUIVALENTE A 100 MG DE SITAGLIPTINA ENVASE CON 28 COMPRIMIDOS.</w:t>
            </w:r>
          </w:p>
        </w:tc>
        <w:tc>
          <w:tcPr>
            <w:tcW w:w="1276" w:type="dxa"/>
            <w:vAlign w:val="center"/>
          </w:tcPr>
          <w:p w14:paraId="1AEA50BC"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115,161</w:t>
            </w:r>
          </w:p>
        </w:tc>
        <w:tc>
          <w:tcPr>
            <w:tcW w:w="1417" w:type="dxa"/>
            <w:vAlign w:val="center"/>
          </w:tcPr>
          <w:p w14:paraId="2A280D5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460,644</w:t>
            </w:r>
          </w:p>
        </w:tc>
        <w:tc>
          <w:tcPr>
            <w:tcW w:w="1418" w:type="dxa"/>
            <w:vAlign w:val="center"/>
          </w:tcPr>
          <w:p w14:paraId="5D95BD8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506,709</w:t>
            </w:r>
          </w:p>
        </w:tc>
        <w:tc>
          <w:tcPr>
            <w:tcW w:w="1417" w:type="dxa"/>
            <w:vAlign w:val="center"/>
          </w:tcPr>
          <w:p w14:paraId="5494602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557,380</w:t>
            </w:r>
          </w:p>
        </w:tc>
        <w:tc>
          <w:tcPr>
            <w:tcW w:w="1418" w:type="dxa"/>
            <w:vAlign w:val="center"/>
          </w:tcPr>
          <w:p w14:paraId="5B395A8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613,118</w:t>
            </w:r>
          </w:p>
        </w:tc>
      </w:tr>
      <w:tr w:rsidR="00C41D0A" w14:paraId="00C79739" w14:textId="77777777">
        <w:trPr>
          <w:trHeight w:val="300"/>
        </w:trPr>
        <w:tc>
          <w:tcPr>
            <w:tcW w:w="1276" w:type="dxa"/>
            <w:vAlign w:val="center"/>
          </w:tcPr>
          <w:p w14:paraId="2CC7935B"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010.000.2111.01</w:t>
            </w:r>
          </w:p>
        </w:tc>
        <w:tc>
          <w:tcPr>
            <w:tcW w:w="2977" w:type="dxa"/>
            <w:vAlign w:val="center"/>
          </w:tcPr>
          <w:p w14:paraId="7F6CCF97"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AMLODIPINO. TABLETA O CÁPSULA CADA TABLETA O CÁPSULA CONTIENE: BESILATO O MALEATO DE AMLODIPINO EQUIVALENTE A 5 MG DE AMLODIPINO. ENVASE CON 30 TABLETAS O CÁPSULAS.</w:t>
            </w:r>
          </w:p>
        </w:tc>
        <w:tc>
          <w:tcPr>
            <w:tcW w:w="1276" w:type="dxa"/>
            <w:vAlign w:val="center"/>
          </w:tcPr>
          <w:p w14:paraId="0C64C347"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322,866</w:t>
            </w:r>
          </w:p>
        </w:tc>
        <w:tc>
          <w:tcPr>
            <w:tcW w:w="1417" w:type="dxa"/>
            <w:vAlign w:val="center"/>
          </w:tcPr>
          <w:p w14:paraId="10A4322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1,291,464</w:t>
            </w:r>
          </w:p>
        </w:tc>
        <w:tc>
          <w:tcPr>
            <w:tcW w:w="1418" w:type="dxa"/>
            <w:vAlign w:val="center"/>
          </w:tcPr>
          <w:p w14:paraId="0625580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1,420,611</w:t>
            </w:r>
          </w:p>
        </w:tc>
        <w:tc>
          <w:tcPr>
            <w:tcW w:w="1417" w:type="dxa"/>
            <w:vAlign w:val="center"/>
          </w:tcPr>
          <w:p w14:paraId="61AE545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1,562,673</w:t>
            </w:r>
          </w:p>
        </w:tc>
        <w:tc>
          <w:tcPr>
            <w:tcW w:w="1418" w:type="dxa"/>
            <w:vAlign w:val="center"/>
          </w:tcPr>
          <w:p w14:paraId="77E7557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1,718,941</w:t>
            </w:r>
          </w:p>
        </w:tc>
      </w:tr>
      <w:tr w:rsidR="00C41D0A" w14:paraId="4519C3E7" w14:textId="77777777">
        <w:trPr>
          <w:trHeight w:val="300"/>
        </w:trPr>
        <w:tc>
          <w:tcPr>
            <w:tcW w:w="1276" w:type="dxa"/>
            <w:vAlign w:val="center"/>
          </w:tcPr>
          <w:p w14:paraId="04010E1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010.000.2307.00</w:t>
            </w:r>
          </w:p>
        </w:tc>
        <w:tc>
          <w:tcPr>
            <w:tcW w:w="2977" w:type="dxa"/>
            <w:vAlign w:val="center"/>
          </w:tcPr>
          <w:p w14:paraId="378684E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FUROSEMIDA. TABLETA. CADA TABLETA CONTIENE: FUROSEMIDA 40 MG ENVASE CON 20 TABLETAS.</w:t>
            </w:r>
          </w:p>
        </w:tc>
        <w:tc>
          <w:tcPr>
            <w:tcW w:w="1276" w:type="dxa"/>
            <w:vAlign w:val="center"/>
          </w:tcPr>
          <w:p w14:paraId="3EA4D97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58,191</w:t>
            </w:r>
          </w:p>
        </w:tc>
        <w:tc>
          <w:tcPr>
            <w:tcW w:w="1417" w:type="dxa"/>
            <w:vAlign w:val="center"/>
          </w:tcPr>
          <w:p w14:paraId="553721B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232,764</w:t>
            </w:r>
          </w:p>
        </w:tc>
        <w:tc>
          <w:tcPr>
            <w:tcW w:w="1418" w:type="dxa"/>
            <w:vAlign w:val="center"/>
          </w:tcPr>
          <w:p w14:paraId="3F14420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256,041</w:t>
            </w:r>
          </w:p>
        </w:tc>
        <w:tc>
          <w:tcPr>
            <w:tcW w:w="1417" w:type="dxa"/>
            <w:vAlign w:val="center"/>
          </w:tcPr>
          <w:p w14:paraId="07356E9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281,646</w:t>
            </w:r>
          </w:p>
        </w:tc>
        <w:tc>
          <w:tcPr>
            <w:tcW w:w="1418" w:type="dxa"/>
            <w:vAlign w:val="center"/>
          </w:tcPr>
          <w:p w14:paraId="27DF85B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309,811</w:t>
            </w:r>
          </w:p>
        </w:tc>
      </w:tr>
      <w:tr w:rsidR="00C41D0A" w14:paraId="25F574E4" w14:textId="77777777">
        <w:trPr>
          <w:trHeight w:val="300"/>
        </w:trPr>
        <w:tc>
          <w:tcPr>
            <w:tcW w:w="1276" w:type="dxa"/>
            <w:vAlign w:val="center"/>
          </w:tcPr>
          <w:p w14:paraId="087D4984"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010.000.2501.00</w:t>
            </w:r>
          </w:p>
        </w:tc>
        <w:tc>
          <w:tcPr>
            <w:tcW w:w="2977" w:type="dxa"/>
            <w:vAlign w:val="center"/>
          </w:tcPr>
          <w:p w14:paraId="497A033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ENALAPRIL O LISINOPRIL O RAMIPRIL CAPSULA O TABLETA CADA CAPSULA O TABLETACONTIENE: MALEATO DE ENALAPRIL 10 MG O LISINOPRIL 10 MG O RAMIPRIL 10 MG  ENVASE CON 30 CAPSULAS O TABLETAS.</w:t>
            </w:r>
          </w:p>
        </w:tc>
        <w:tc>
          <w:tcPr>
            <w:tcW w:w="1276" w:type="dxa"/>
            <w:vAlign w:val="center"/>
          </w:tcPr>
          <w:p w14:paraId="68D9A8D8"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219,909</w:t>
            </w:r>
          </w:p>
        </w:tc>
        <w:tc>
          <w:tcPr>
            <w:tcW w:w="1417" w:type="dxa"/>
            <w:vAlign w:val="center"/>
          </w:tcPr>
          <w:p w14:paraId="012F673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879,636</w:t>
            </w:r>
          </w:p>
        </w:tc>
        <w:tc>
          <w:tcPr>
            <w:tcW w:w="1418" w:type="dxa"/>
            <w:vAlign w:val="center"/>
          </w:tcPr>
          <w:p w14:paraId="1296C54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967,600</w:t>
            </w:r>
          </w:p>
        </w:tc>
        <w:tc>
          <w:tcPr>
            <w:tcW w:w="1417" w:type="dxa"/>
            <w:vAlign w:val="center"/>
          </w:tcPr>
          <w:p w14:paraId="3D1A0B2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1,064,360</w:t>
            </w:r>
          </w:p>
        </w:tc>
        <w:tc>
          <w:tcPr>
            <w:tcW w:w="1418" w:type="dxa"/>
            <w:vAlign w:val="center"/>
          </w:tcPr>
          <w:p w14:paraId="2B2AD9E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1,170,796</w:t>
            </w:r>
          </w:p>
        </w:tc>
      </w:tr>
      <w:tr w:rsidR="00C41D0A" w14:paraId="1334C924" w14:textId="77777777">
        <w:trPr>
          <w:trHeight w:val="300"/>
        </w:trPr>
        <w:tc>
          <w:tcPr>
            <w:tcW w:w="1276" w:type="dxa"/>
            <w:vAlign w:val="center"/>
          </w:tcPr>
          <w:p w14:paraId="549214BC"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010.000.2540.00</w:t>
            </w:r>
          </w:p>
        </w:tc>
        <w:tc>
          <w:tcPr>
            <w:tcW w:w="2977" w:type="dxa"/>
            <w:vAlign w:val="center"/>
          </w:tcPr>
          <w:p w14:paraId="03325C3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TELMISARTAN TABLETA CADA TABLETA CONTIENE: TELMISARTAN 40 MG ENVASE CON 30TABLETAS.</w:t>
            </w:r>
          </w:p>
        </w:tc>
        <w:tc>
          <w:tcPr>
            <w:tcW w:w="1276" w:type="dxa"/>
            <w:vAlign w:val="center"/>
          </w:tcPr>
          <w:p w14:paraId="3E07B338"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539,571</w:t>
            </w:r>
          </w:p>
        </w:tc>
        <w:tc>
          <w:tcPr>
            <w:tcW w:w="1417" w:type="dxa"/>
            <w:vAlign w:val="center"/>
          </w:tcPr>
          <w:p w14:paraId="4873490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2,158,284</w:t>
            </w:r>
          </w:p>
        </w:tc>
        <w:tc>
          <w:tcPr>
            <w:tcW w:w="1418" w:type="dxa"/>
            <w:vAlign w:val="center"/>
          </w:tcPr>
          <w:p w14:paraId="09C49E2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2,374,113</w:t>
            </w:r>
          </w:p>
        </w:tc>
        <w:tc>
          <w:tcPr>
            <w:tcW w:w="1417" w:type="dxa"/>
            <w:vAlign w:val="center"/>
          </w:tcPr>
          <w:p w14:paraId="56F4227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2,611,525</w:t>
            </w:r>
          </w:p>
        </w:tc>
        <w:tc>
          <w:tcPr>
            <w:tcW w:w="1418" w:type="dxa"/>
            <w:vAlign w:val="center"/>
          </w:tcPr>
          <w:p w14:paraId="6EDC444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2,872,678</w:t>
            </w:r>
          </w:p>
        </w:tc>
      </w:tr>
      <w:tr w:rsidR="00C41D0A" w14:paraId="2A7803D9" w14:textId="77777777">
        <w:trPr>
          <w:trHeight w:val="300"/>
        </w:trPr>
        <w:tc>
          <w:tcPr>
            <w:tcW w:w="1276" w:type="dxa"/>
            <w:vAlign w:val="center"/>
          </w:tcPr>
          <w:p w14:paraId="6B15201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010.000.0655.00</w:t>
            </w:r>
          </w:p>
        </w:tc>
        <w:tc>
          <w:tcPr>
            <w:tcW w:w="2977" w:type="dxa"/>
            <w:vAlign w:val="center"/>
          </w:tcPr>
          <w:p w14:paraId="247D5DD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BEZAFIBRATO TABLETA CADA TABLETA CONTIENE: BEZAFIBRATO 200 MG ENVASE CON 30TABLETAS.</w:t>
            </w:r>
          </w:p>
        </w:tc>
        <w:tc>
          <w:tcPr>
            <w:tcW w:w="1276" w:type="dxa"/>
            <w:vAlign w:val="center"/>
          </w:tcPr>
          <w:p w14:paraId="7886A7A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81,745</w:t>
            </w:r>
          </w:p>
        </w:tc>
        <w:tc>
          <w:tcPr>
            <w:tcW w:w="1417" w:type="dxa"/>
            <w:vAlign w:val="center"/>
          </w:tcPr>
          <w:p w14:paraId="60DA664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326,980</w:t>
            </w:r>
          </w:p>
        </w:tc>
        <w:tc>
          <w:tcPr>
            <w:tcW w:w="1418" w:type="dxa"/>
            <w:vAlign w:val="center"/>
          </w:tcPr>
          <w:p w14:paraId="35922C5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359,678</w:t>
            </w:r>
          </w:p>
        </w:tc>
        <w:tc>
          <w:tcPr>
            <w:tcW w:w="1417" w:type="dxa"/>
            <w:vAlign w:val="center"/>
          </w:tcPr>
          <w:p w14:paraId="43BB3C0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395,646</w:t>
            </w:r>
          </w:p>
        </w:tc>
        <w:tc>
          <w:tcPr>
            <w:tcW w:w="1418" w:type="dxa"/>
            <w:vAlign w:val="center"/>
          </w:tcPr>
          <w:p w14:paraId="00FAA42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435,211</w:t>
            </w:r>
          </w:p>
        </w:tc>
      </w:tr>
      <w:tr w:rsidR="00C41D0A" w14:paraId="53C3F274" w14:textId="77777777">
        <w:trPr>
          <w:trHeight w:val="300"/>
        </w:trPr>
        <w:tc>
          <w:tcPr>
            <w:tcW w:w="1276" w:type="dxa"/>
            <w:vAlign w:val="center"/>
          </w:tcPr>
          <w:p w14:paraId="59385E98"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010.000.2301.00</w:t>
            </w:r>
          </w:p>
        </w:tc>
        <w:tc>
          <w:tcPr>
            <w:tcW w:w="2977" w:type="dxa"/>
            <w:vAlign w:val="center"/>
          </w:tcPr>
          <w:p w14:paraId="6291CC7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HIDROCLOROTIAZIDA DE 25 MG, TABLETA, ENVASE CON 20 TABLETAS.</w:t>
            </w:r>
          </w:p>
        </w:tc>
        <w:tc>
          <w:tcPr>
            <w:tcW w:w="1276" w:type="dxa"/>
            <w:vAlign w:val="center"/>
          </w:tcPr>
          <w:p w14:paraId="0E5EC2B6"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661,704</w:t>
            </w:r>
          </w:p>
        </w:tc>
        <w:tc>
          <w:tcPr>
            <w:tcW w:w="1417" w:type="dxa"/>
            <w:vAlign w:val="center"/>
          </w:tcPr>
          <w:p w14:paraId="646077C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2,646,816</w:t>
            </w:r>
          </w:p>
        </w:tc>
        <w:tc>
          <w:tcPr>
            <w:tcW w:w="1418" w:type="dxa"/>
            <w:vAlign w:val="center"/>
          </w:tcPr>
          <w:p w14:paraId="63E058A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2,911,498</w:t>
            </w:r>
          </w:p>
        </w:tc>
        <w:tc>
          <w:tcPr>
            <w:tcW w:w="1417" w:type="dxa"/>
            <w:vAlign w:val="center"/>
          </w:tcPr>
          <w:p w14:paraId="30B5B11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3,202,648</w:t>
            </w:r>
          </w:p>
        </w:tc>
        <w:tc>
          <w:tcPr>
            <w:tcW w:w="1418" w:type="dxa"/>
            <w:vAlign w:val="center"/>
          </w:tcPr>
          <w:p w14:paraId="4557C8E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3,522,913</w:t>
            </w:r>
          </w:p>
        </w:tc>
      </w:tr>
      <w:tr w:rsidR="00C41D0A" w14:paraId="636B9CED" w14:textId="77777777">
        <w:trPr>
          <w:trHeight w:val="300"/>
        </w:trPr>
        <w:tc>
          <w:tcPr>
            <w:tcW w:w="1276" w:type="dxa"/>
            <w:vAlign w:val="center"/>
          </w:tcPr>
          <w:p w14:paraId="1F393B7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010.000.0599.00</w:t>
            </w:r>
          </w:p>
        </w:tc>
        <w:tc>
          <w:tcPr>
            <w:tcW w:w="2977" w:type="dxa"/>
            <w:vAlign w:val="center"/>
          </w:tcPr>
          <w:p w14:paraId="71ABDABC"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NIFEDIPINO. COMPRIMIDO DE LIBERACIÓN PROLONGADA CADA COMPRIMIDO CONTIENE: NIFEDIPINO 30 MG ENVASE CON 30 COMPRIMIDOS.</w:t>
            </w:r>
          </w:p>
        </w:tc>
        <w:tc>
          <w:tcPr>
            <w:tcW w:w="1276" w:type="dxa"/>
            <w:vAlign w:val="center"/>
          </w:tcPr>
          <w:p w14:paraId="68F36491"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130,764</w:t>
            </w:r>
          </w:p>
        </w:tc>
        <w:tc>
          <w:tcPr>
            <w:tcW w:w="1417" w:type="dxa"/>
            <w:vAlign w:val="center"/>
          </w:tcPr>
          <w:p w14:paraId="5C65FBB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523,056</w:t>
            </w:r>
          </w:p>
        </w:tc>
        <w:tc>
          <w:tcPr>
            <w:tcW w:w="1418" w:type="dxa"/>
            <w:vAlign w:val="center"/>
          </w:tcPr>
          <w:p w14:paraId="4F75C08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575,362</w:t>
            </w:r>
          </w:p>
        </w:tc>
        <w:tc>
          <w:tcPr>
            <w:tcW w:w="1417" w:type="dxa"/>
            <w:vAlign w:val="center"/>
          </w:tcPr>
          <w:p w14:paraId="7367748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632,899</w:t>
            </w:r>
          </w:p>
        </w:tc>
        <w:tc>
          <w:tcPr>
            <w:tcW w:w="1418" w:type="dxa"/>
            <w:vAlign w:val="center"/>
          </w:tcPr>
          <w:p w14:paraId="62EE1A1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696,189</w:t>
            </w:r>
          </w:p>
        </w:tc>
      </w:tr>
      <w:tr w:rsidR="00C41D0A" w14:paraId="498DE381" w14:textId="77777777">
        <w:trPr>
          <w:trHeight w:val="300"/>
        </w:trPr>
        <w:tc>
          <w:tcPr>
            <w:tcW w:w="1276" w:type="dxa"/>
            <w:vAlign w:val="center"/>
          </w:tcPr>
          <w:p w14:paraId="32700F4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010.000.2520.00</w:t>
            </w:r>
          </w:p>
        </w:tc>
        <w:tc>
          <w:tcPr>
            <w:tcW w:w="2977" w:type="dxa"/>
            <w:vAlign w:val="center"/>
          </w:tcPr>
          <w:p w14:paraId="100624AE"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LOSARTAN GRAGEA O COMPRIMIDO RECUBIERTO CADA GRAGEA O COMPRIMIDO RECUBIERTOCONTIENE: LOSARTAN POTASICO 50 MG ENVASE CON 30 GRAGEAS O COMPRIMIDOSRECUBIERTOS.</w:t>
            </w:r>
          </w:p>
        </w:tc>
        <w:tc>
          <w:tcPr>
            <w:tcW w:w="1276" w:type="dxa"/>
            <w:vAlign w:val="center"/>
          </w:tcPr>
          <w:p w14:paraId="56B9E88C"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1,125,979</w:t>
            </w:r>
          </w:p>
        </w:tc>
        <w:tc>
          <w:tcPr>
            <w:tcW w:w="1417" w:type="dxa"/>
            <w:vAlign w:val="center"/>
          </w:tcPr>
          <w:p w14:paraId="351B2BA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4,503,916</w:t>
            </w:r>
          </w:p>
        </w:tc>
        <w:tc>
          <w:tcPr>
            <w:tcW w:w="1418" w:type="dxa"/>
            <w:vAlign w:val="center"/>
          </w:tcPr>
          <w:p w14:paraId="6E67B6D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4,954,308</w:t>
            </w:r>
          </w:p>
        </w:tc>
        <w:tc>
          <w:tcPr>
            <w:tcW w:w="1417" w:type="dxa"/>
            <w:vAlign w:val="center"/>
          </w:tcPr>
          <w:p w14:paraId="1BDDF68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5,449,739</w:t>
            </w:r>
          </w:p>
        </w:tc>
        <w:tc>
          <w:tcPr>
            <w:tcW w:w="1418" w:type="dxa"/>
            <w:vAlign w:val="center"/>
          </w:tcPr>
          <w:p w14:paraId="2D484BB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5,994,713</w:t>
            </w:r>
          </w:p>
        </w:tc>
      </w:tr>
      <w:tr w:rsidR="00C41D0A" w14:paraId="002F24DF" w14:textId="77777777">
        <w:trPr>
          <w:trHeight w:val="300"/>
        </w:trPr>
        <w:tc>
          <w:tcPr>
            <w:tcW w:w="1276" w:type="dxa"/>
            <w:vAlign w:val="center"/>
          </w:tcPr>
          <w:p w14:paraId="635DA9E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010.000.0572.00</w:t>
            </w:r>
          </w:p>
        </w:tc>
        <w:tc>
          <w:tcPr>
            <w:tcW w:w="2977" w:type="dxa"/>
            <w:vAlign w:val="center"/>
          </w:tcPr>
          <w:p w14:paraId="1B4BB4D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METOPROLOL 100 MG ENVASE CON 20 TABLETAS.</w:t>
            </w:r>
          </w:p>
        </w:tc>
        <w:tc>
          <w:tcPr>
            <w:tcW w:w="1276" w:type="dxa"/>
            <w:vAlign w:val="center"/>
          </w:tcPr>
          <w:p w14:paraId="4264B514"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379,044</w:t>
            </w:r>
          </w:p>
        </w:tc>
        <w:tc>
          <w:tcPr>
            <w:tcW w:w="1417" w:type="dxa"/>
            <w:vAlign w:val="center"/>
          </w:tcPr>
          <w:p w14:paraId="2C83A37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1,516,176</w:t>
            </w:r>
          </w:p>
        </w:tc>
        <w:tc>
          <w:tcPr>
            <w:tcW w:w="1418" w:type="dxa"/>
            <w:vAlign w:val="center"/>
          </w:tcPr>
          <w:p w14:paraId="51231F5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1,667,794</w:t>
            </w:r>
          </w:p>
        </w:tc>
        <w:tc>
          <w:tcPr>
            <w:tcW w:w="1417" w:type="dxa"/>
            <w:vAlign w:val="center"/>
          </w:tcPr>
          <w:p w14:paraId="4B752F6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1,834,574</w:t>
            </w:r>
          </w:p>
        </w:tc>
        <w:tc>
          <w:tcPr>
            <w:tcW w:w="1418" w:type="dxa"/>
            <w:vAlign w:val="center"/>
          </w:tcPr>
          <w:p w14:paraId="69A87F7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2,018,032</w:t>
            </w:r>
          </w:p>
        </w:tc>
      </w:tr>
      <w:tr w:rsidR="00C41D0A" w14:paraId="38B1E633" w14:textId="77777777">
        <w:trPr>
          <w:trHeight w:val="300"/>
        </w:trPr>
        <w:tc>
          <w:tcPr>
            <w:tcW w:w="1276" w:type="dxa"/>
            <w:vAlign w:val="center"/>
          </w:tcPr>
          <w:p w14:paraId="2BA61F4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lastRenderedPageBreak/>
              <w:t>010.000.0596.00</w:t>
            </w:r>
          </w:p>
        </w:tc>
        <w:tc>
          <w:tcPr>
            <w:tcW w:w="2977" w:type="dxa"/>
            <w:vAlign w:val="center"/>
          </w:tcPr>
          <w:p w14:paraId="1F0BD831"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VERAPAMILO. GRAGEA O TABLETA RECUBIERTA CADA GRAGEA O TABLETA RECUBIERTA CONTIENE: CLORHIDRATO DE VERAPAMILO 80 MG ENVASE CON 20 GRAGEAS O TABLETAS RECUBIERTAS.</w:t>
            </w:r>
          </w:p>
        </w:tc>
        <w:tc>
          <w:tcPr>
            <w:tcW w:w="1276" w:type="dxa"/>
            <w:vAlign w:val="center"/>
          </w:tcPr>
          <w:p w14:paraId="2471A466"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36,135</w:t>
            </w:r>
          </w:p>
        </w:tc>
        <w:tc>
          <w:tcPr>
            <w:tcW w:w="1417" w:type="dxa"/>
            <w:vAlign w:val="center"/>
          </w:tcPr>
          <w:p w14:paraId="36BC934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144,540</w:t>
            </w:r>
          </w:p>
        </w:tc>
        <w:tc>
          <w:tcPr>
            <w:tcW w:w="1418" w:type="dxa"/>
            <w:vAlign w:val="center"/>
          </w:tcPr>
          <w:p w14:paraId="7B6BDE4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158,994</w:t>
            </w:r>
          </w:p>
        </w:tc>
        <w:tc>
          <w:tcPr>
            <w:tcW w:w="1417" w:type="dxa"/>
            <w:vAlign w:val="center"/>
          </w:tcPr>
          <w:p w14:paraId="743BBD9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174,894</w:t>
            </w:r>
          </w:p>
        </w:tc>
        <w:tc>
          <w:tcPr>
            <w:tcW w:w="1418" w:type="dxa"/>
            <w:vAlign w:val="center"/>
          </w:tcPr>
          <w:p w14:paraId="32E5E5E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192,384</w:t>
            </w:r>
          </w:p>
        </w:tc>
      </w:tr>
      <w:tr w:rsidR="00C41D0A" w14:paraId="3277F8DB" w14:textId="77777777">
        <w:trPr>
          <w:trHeight w:val="300"/>
        </w:trPr>
        <w:tc>
          <w:tcPr>
            <w:tcW w:w="1276" w:type="dxa"/>
            <w:vAlign w:val="center"/>
          </w:tcPr>
          <w:p w14:paraId="1BD9021B"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010.000.5106.01</w:t>
            </w:r>
          </w:p>
        </w:tc>
        <w:tc>
          <w:tcPr>
            <w:tcW w:w="2977" w:type="dxa"/>
            <w:vAlign w:val="center"/>
          </w:tcPr>
          <w:p w14:paraId="6F32758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ATORVASTATINA. TABLETA CADA TABLETA CONTIENE: ATORVASTATINA CALCICA TRIHIDRATADAEQUIVALENTE A 20 MG DE ATORVASTATINA. ENVASE CON 30 TABLETAS.</w:t>
            </w:r>
          </w:p>
        </w:tc>
        <w:tc>
          <w:tcPr>
            <w:tcW w:w="1276" w:type="dxa"/>
            <w:vAlign w:val="center"/>
          </w:tcPr>
          <w:p w14:paraId="7DD3FDA7"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401,822</w:t>
            </w:r>
          </w:p>
        </w:tc>
        <w:tc>
          <w:tcPr>
            <w:tcW w:w="1417" w:type="dxa"/>
            <w:vAlign w:val="center"/>
          </w:tcPr>
          <w:p w14:paraId="48B6FDA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1,607,288</w:t>
            </w:r>
          </w:p>
        </w:tc>
        <w:tc>
          <w:tcPr>
            <w:tcW w:w="1418" w:type="dxa"/>
            <w:vAlign w:val="center"/>
          </w:tcPr>
          <w:p w14:paraId="2F2DF7F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1,768,017</w:t>
            </w:r>
          </w:p>
        </w:tc>
        <w:tc>
          <w:tcPr>
            <w:tcW w:w="1417" w:type="dxa"/>
            <w:vAlign w:val="center"/>
          </w:tcPr>
          <w:p w14:paraId="118E81B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1,944,819</w:t>
            </w:r>
          </w:p>
        </w:tc>
        <w:tc>
          <w:tcPr>
            <w:tcW w:w="1418" w:type="dxa"/>
            <w:vAlign w:val="center"/>
          </w:tcPr>
          <w:p w14:paraId="2313322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2,139,301</w:t>
            </w:r>
          </w:p>
        </w:tc>
      </w:tr>
      <w:tr w:rsidR="00C41D0A" w14:paraId="32164137" w14:textId="77777777">
        <w:trPr>
          <w:trHeight w:val="300"/>
        </w:trPr>
        <w:tc>
          <w:tcPr>
            <w:tcW w:w="1276" w:type="dxa"/>
            <w:vAlign w:val="center"/>
          </w:tcPr>
          <w:p w14:paraId="3F92B89C"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010.000.5186.02</w:t>
            </w:r>
          </w:p>
        </w:tc>
        <w:tc>
          <w:tcPr>
            <w:tcW w:w="2977" w:type="dxa"/>
            <w:vAlign w:val="center"/>
          </w:tcPr>
          <w:p w14:paraId="7AC1045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PANTOPRAZOL O RABEPRAZOL U OMEPRAZOL. TABLETA O GRAGEA O CÁPSULA CADA TABLETA O GRAGEA O CÁPSULA CONTIENE: PANTOPRAZOL 40 MG O RABEPRAZOL SÓDICO 20 MG U OMEPRAZOL 20 MG ENVASE CON 28 TABLETAS O GRAGEAS O CÁPSULAS</w:t>
            </w:r>
          </w:p>
        </w:tc>
        <w:tc>
          <w:tcPr>
            <w:tcW w:w="1276" w:type="dxa"/>
            <w:vAlign w:val="center"/>
          </w:tcPr>
          <w:p w14:paraId="59D0B5B4"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180,209</w:t>
            </w:r>
          </w:p>
        </w:tc>
        <w:tc>
          <w:tcPr>
            <w:tcW w:w="1417" w:type="dxa"/>
            <w:vAlign w:val="center"/>
          </w:tcPr>
          <w:p w14:paraId="36D79F7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720,836</w:t>
            </w:r>
          </w:p>
        </w:tc>
        <w:tc>
          <w:tcPr>
            <w:tcW w:w="1418" w:type="dxa"/>
            <w:vAlign w:val="center"/>
          </w:tcPr>
          <w:p w14:paraId="090D99B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792,920</w:t>
            </w:r>
          </w:p>
        </w:tc>
        <w:tc>
          <w:tcPr>
            <w:tcW w:w="1417" w:type="dxa"/>
            <w:vAlign w:val="center"/>
          </w:tcPr>
          <w:p w14:paraId="69CE89C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872,212</w:t>
            </w:r>
          </w:p>
        </w:tc>
        <w:tc>
          <w:tcPr>
            <w:tcW w:w="1418" w:type="dxa"/>
            <w:vAlign w:val="center"/>
          </w:tcPr>
          <w:p w14:paraId="3389372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959,434</w:t>
            </w:r>
          </w:p>
        </w:tc>
      </w:tr>
      <w:tr w:rsidR="00C41D0A" w14:paraId="5C6C1EFD" w14:textId="77777777">
        <w:trPr>
          <w:trHeight w:val="300"/>
        </w:trPr>
        <w:tc>
          <w:tcPr>
            <w:tcW w:w="1276" w:type="dxa"/>
            <w:vAlign w:val="center"/>
          </w:tcPr>
          <w:p w14:paraId="1AD0B798"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010.000.5941.00</w:t>
            </w:r>
          </w:p>
        </w:tc>
        <w:tc>
          <w:tcPr>
            <w:tcW w:w="2977" w:type="dxa"/>
            <w:vAlign w:val="center"/>
          </w:tcPr>
          <w:p w14:paraId="5420092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IBUPROFENO. TABLETA O CÁPSULA: CADA TABLETA O CÁPSULA CONTIENE: IBUPROFENO 400 MG ENVASE CON 10 TABLETAS O CÁPSULAS</w:t>
            </w:r>
          </w:p>
        </w:tc>
        <w:tc>
          <w:tcPr>
            <w:tcW w:w="1276" w:type="dxa"/>
            <w:vAlign w:val="center"/>
          </w:tcPr>
          <w:p w14:paraId="6C0CDDB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16,278</w:t>
            </w:r>
          </w:p>
        </w:tc>
        <w:tc>
          <w:tcPr>
            <w:tcW w:w="1417" w:type="dxa"/>
            <w:vAlign w:val="center"/>
          </w:tcPr>
          <w:p w14:paraId="44A26B3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65,112</w:t>
            </w:r>
          </w:p>
        </w:tc>
        <w:tc>
          <w:tcPr>
            <w:tcW w:w="1418" w:type="dxa"/>
            <w:vAlign w:val="center"/>
          </w:tcPr>
          <w:p w14:paraId="25F78CD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71,624</w:t>
            </w:r>
          </w:p>
        </w:tc>
        <w:tc>
          <w:tcPr>
            <w:tcW w:w="1417" w:type="dxa"/>
            <w:vAlign w:val="center"/>
          </w:tcPr>
          <w:p w14:paraId="24E41ED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78,787</w:t>
            </w:r>
          </w:p>
        </w:tc>
        <w:tc>
          <w:tcPr>
            <w:tcW w:w="1418" w:type="dxa"/>
            <w:vAlign w:val="center"/>
          </w:tcPr>
          <w:p w14:paraId="5E7F805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86,666</w:t>
            </w:r>
          </w:p>
        </w:tc>
      </w:tr>
      <w:tr w:rsidR="00C41D0A" w14:paraId="2CAFB8FA" w14:textId="77777777">
        <w:trPr>
          <w:trHeight w:val="300"/>
        </w:trPr>
        <w:tc>
          <w:tcPr>
            <w:tcW w:w="1276" w:type="dxa"/>
            <w:vAlign w:val="center"/>
          </w:tcPr>
          <w:p w14:paraId="3AEDBA6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010.000.0104.00</w:t>
            </w:r>
          </w:p>
        </w:tc>
        <w:tc>
          <w:tcPr>
            <w:tcW w:w="2977" w:type="dxa"/>
            <w:vAlign w:val="center"/>
          </w:tcPr>
          <w:p w14:paraId="4D141FB6"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PARACETAMOL. TABLETA CADA TABLETA CONTIENE: PARACETAMOL 500 MG. ENVASE CON 10 TABLETAS.</w:t>
            </w:r>
          </w:p>
        </w:tc>
        <w:tc>
          <w:tcPr>
            <w:tcW w:w="1276" w:type="dxa"/>
            <w:vAlign w:val="center"/>
          </w:tcPr>
          <w:p w14:paraId="1811685B"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118,735</w:t>
            </w:r>
          </w:p>
        </w:tc>
        <w:tc>
          <w:tcPr>
            <w:tcW w:w="1417" w:type="dxa"/>
            <w:vAlign w:val="center"/>
          </w:tcPr>
          <w:p w14:paraId="6EDD195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474,940</w:t>
            </w:r>
          </w:p>
        </w:tc>
        <w:tc>
          <w:tcPr>
            <w:tcW w:w="1418" w:type="dxa"/>
            <w:vAlign w:val="center"/>
          </w:tcPr>
          <w:p w14:paraId="3322E85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522,434</w:t>
            </w:r>
          </w:p>
        </w:tc>
        <w:tc>
          <w:tcPr>
            <w:tcW w:w="1417" w:type="dxa"/>
            <w:vAlign w:val="center"/>
          </w:tcPr>
          <w:p w14:paraId="5D39210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574,678</w:t>
            </w:r>
          </w:p>
        </w:tc>
        <w:tc>
          <w:tcPr>
            <w:tcW w:w="1418" w:type="dxa"/>
            <w:vAlign w:val="center"/>
          </w:tcPr>
          <w:p w14:paraId="73B61E2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632,146</w:t>
            </w:r>
          </w:p>
        </w:tc>
      </w:tr>
      <w:tr w:rsidR="00C41D0A" w14:paraId="02F43777" w14:textId="77777777">
        <w:trPr>
          <w:trHeight w:val="300"/>
        </w:trPr>
        <w:tc>
          <w:tcPr>
            <w:tcW w:w="1276" w:type="dxa"/>
            <w:vAlign w:val="center"/>
          </w:tcPr>
          <w:p w14:paraId="6C581D91"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010.000.6222.00</w:t>
            </w:r>
          </w:p>
        </w:tc>
        <w:tc>
          <w:tcPr>
            <w:tcW w:w="2977" w:type="dxa"/>
            <w:vAlign w:val="center"/>
          </w:tcPr>
          <w:p w14:paraId="0B734036"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ÁCIDO ACETILSALICÍLICO, TABLETAS CADA TABLETA CONTIENE: ÁCIDO ACETILSALICÍLICO 100 MG CON O SIN RECUBRIMIENTO. ENVASE CON 28 TABLETAS.</w:t>
            </w:r>
          </w:p>
        </w:tc>
        <w:tc>
          <w:tcPr>
            <w:tcW w:w="1276" w:type="dxa"/>
            <w:vAlign w:val="center"/>
          </w:tcPr>
          <w:p w14:paraId="5F7306E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204,988</w:t>
            </w:r>
          </w:p>
        </w:tc>
        <w:tc>
          <w:tcPr>
            <w:tcW w:w="1417" w:type="dxa"/>
            <w:vAlign w:val="center"/>
          </w:tcPr>
          <w:p w14:paraId="5ADC70A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819,952</w:t>
            </w:r>
          </w:p>
        </w:tc>
        <w:tc>
          <w:tcPr>
            <w:tcW w:w="1418" w:type="dxa"/>
            <w:vAlign w:val="center"/>
          </w:tcPr>
          <w:p w14:paraId="55D9D0D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901,948</w:t>
            </w:r>
          </w:p>
        </w:tc>
        <w:tc>
          <w:tcPr>
            <w:tcW w:w="1417" w:type="dxa"/>
            <w:vAlign w:val="center"/>
          </w:tcPr>
          <w:p w14:paraId="202DA7B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992,143</w:t>
            </w:r>
          </w:p>
        </w:tc>
        <w:tc>
          <w:tcPr>
            <w:tcW w:w="1418" w:type="dxa"/>
            <w:vAlign w:val="center"/>
          </w:tcPr>
          <w:p w14:paraId="1287E8A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1,091,358</w:t>
            </w:r>
          </w:p>
        </w:tc>
      </w:tr>
      <w:tr w:rsidR="00C41D0A" w14:paraId="68A089E0" w14:textId="77777777">
        <w:trPr>
          <w:trHeight w:val="300"/>
        </w:trPr>
        <w:tc>
          <w:tcPr>
            <w:tcW w:w="4253" w:type="dxa"/>
            <w:gridSpan w:val="2"/>
            <w:vAlign w:val="bottom"/>
          </w:tcPr>
          <w:p w14:paraId="6E0094F0" w14:textId="77777777" w:rsidR="00C41D0A" w:rsidRDefault="0057227D">
            <w:pPr>
              <w:rPr>
                <w:rFonts w:ascii="Noto Sans" w:eastAsia="Noto Sans" w:hAnsi="Noto Sans" w:cs="Noto Sans"/>
                <w:b/>
                <w:bCs/>
                <w:color w:val="000000"/>
                <w:sz w:val="14"/>
                <w:szCs w:val="14"/>
              </w:rPr>
            </w:pPr>
            <w:r>
              <w:rPr>
                <w:rFonts w:ascii="Noto Sans" w:eastAsia="Noto Sans" w:hAnsi="Noto Sans" w:cs="Noto Sans"/>
                <w:b/>
                <w:bCs/>
                <w:color w:val="000000"/>
                <w:sz w:val="14"/>
                <w:szCs w:val="14"/>
              </w:rPr>
              <w:t>COSTO TOTAL SERVICIO INTEGRADO SIN IVA</w:t>
            </w:r>
          </w:p>
        </w:tc>
        <w:tc>
          <w:tcPr>
            <w:tcW w:w="1276" w:type="dxa"/>
            <w:vAlign w:val="center"/>
          </w:tcPr>
          <w:p w14:paraId="275EAAAF"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 xml:space="preserve"> $478,719,994.00 </w:t>
            </w:r>
          </w:p>
        </w:tc>
        <w:tc>
          <w:tcPr>
            <w:tcW w:w="1417" w:type="dxa"/>
            <w:vAlign w:val="center"/>
          </w:tcPr>
          <w:p w14:paraId="75C6D0EA"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 xml:space="preserve">$2,010,690,722.20 </w:t>
            </w:r>
          </w:p>
        </w:tc>
        <w:tc>
          <w:tcPr>
            <w:tcW w:w="1418" w:type="dxa"/>
            <w:vAlign w:val="center"/>
          </w:tcPr>
          <w:p w14:paraId="67499CF0"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 xml:space="preserve">$2,322,457,237.43 </w:t>
            </w:r>
          </w:p>
        </w:tc>
        <w:tc>
          <w:tcPr>
            <w:tcW w:w="1417" w:type="dxa"/>
            <w:vAlign w:val="center"/>
          </w:tcPr>
          <w:p w14:paraId="0E168DD0"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$2,682,533,837.04</w:t>
            </w:r>
          </w:p>
        </w:tc>
        <w:tc>
          <w:tcPr>
            <w:tcW w:w="1418" w:type="dxa"/>
            <w:vAlign w:val="center"/>
          </w:tcPr>
          <w:p w14:paraId="124B2A40"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 xml:space="preserve">$3,098,470,930.46 </w:t>
            </w:r>
          </w:p>
        </w:tc>
      </w:tr>
    </w:tbl>
    <w:p w14:paraId="71D65227" w14:textId="77777777" w:rsidR="00C41D0A" w:rsidRDefault="0057227D">
      <w:pPr>
        <w:spacing w:after="160" w:line="278" w:lineRule="auto"/>
        <w:rPr>
          <w:rFonts w:ascii="Noto Sans" w:eastAsia="Noto Sans" w:hAnsi="Noto Sans" w:cs="Noto Sans"/>
          <w:sz w:val="22"/>
          <w:szCs w:val="22"/>
        </w:rPr>
      </w:pPr>
      <w:r>
        <w:br w:type="page"/>
      </w:r>
    </w:p>
    <w:p w14:paraId="461AA511" w14:textId="77777777" w:rsidR="00C41D0A" w:rsidRDefault="0057227D">
      <w:pPr>
        <w:spacing w:after="160" w:line="278" w:lineRule="auto"/>
        <w:jc w:val="center"/>
        <w:rPr>
          <w:rFonts w:ascii="Noto Sans" w:eastAsia="Noto Sans" w:hAnsi="Noto Sans" w:cs="Noto Sans"/>
          <w:sz w:val="22"/>
          <w:szCs w:val="22"/>
        </w:rPr>
      </w:pPr>
      <w:r>
        <w:rPr>
          <w:rFonts w:ascii="Noto Sans" w:eastAsia="Noto Sans" w:hAnsi="Noto Sans" w:cs="Noto Sans"/>
          <w:sz w:val="22"/>
          <w:szCs w:val="22"/>
        </w:rPr>
        <w:lastRenderedPageBreak/>
        <w:t xml:space="preserve">Demanda y costo estimado por año para Modalidad de operación </w:t>
      </w:r>
      <w:r>
        <w:rPr>
          <w:rFonts w:ascii="Noto Sans" w:eastAsia="Noto Sans" w:hAnsi="Noto Sans" w:cs="Noto Sans"/>
          <w:b/>
          <w:bCs/>
          <w:sz w:val="22"/>
          <w:szCs w:val="22"/>
        </w:rPr>
        <w:t>“MÁQUINAS DESPACHADORAS” (Esta demanda puede modificarse de acuerdo a la planeación de SALUD)</w:t>
      </w:r>
    </w:p>
    <w:tbl>
      <w:tblPr>
        <w:tblStyle w:val="a3"/>
        <w:tblW w:w="11057"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2977"/>
        <w:gridCol w:w="1276"/>
        <w:gridCol w:w="1275"/>
        <w:gridCol w:w="1418"/>
        <w:gridCol w:w="1417"/>
        <w:gridCol w:w="1418"/>
      </w:tblGrid>
      <w:tr w:rsidR="00C41D0A" w14:paraId="68B1B0BE" w14:textId="77777777">
        <w:trPr>
          <w:trHeight w:val="460"/>
        </w:trPr>
        <w:tc>
          <w:tcPr>
            <w:tcW w:w="1276" w:type="dxa"/>
            <w:tcBorders>
              <w:top w:val="single" w:sz="4" w:space="0" w:color="FFFFFF"/>
              <w:left w:val="single" w:sz="4" w:space="0" w:color="FFFFFF"/>
              <w:right w:val="single" w:sz="4" w:space="0" w:color="FFFFFF"/>
            </w:tcBorders>
            <w:vAlign w:val="center"/>
          </w:tcPr>
          <w:p w14:paraId="073B639B" w14:textId="77777777" w:rsidR="00C41D0A" w:rsidRDefault="00C41D0A">
            <w:pPr>
              <w:jc w:val="center"/>
              <w:rPr>
                <w:rFonts w:ascii="Noto Sans" w:eastAsia="Noto Sans" w:hAnsi="Noto Sans" w:cs="Noto Sans"/>
                <w:b/>
                <w:bCs/>
                <w:color w:val="FFFFFF"/>
                <w:sz w:val="16"/>
                <w:szCs w:val="16"/>
              </w:rPr>
            </w:pPr>
          </w:p>
        </w:tc>
        <w:tc>
          <w:tcPr>
            <w:tcW w:w="2977" w:type="dxa"/>
            <w:tcBorders>
              <w:top w:val="single" w:sz="4" w:space="0" w:color="FFFFFF"/>
              <w:left w:val="single" w:sz="4" w:space="0" w:color="FFFFFF"/>
            </w:tcBorders>
            <w:vAlign w:val="center"/>
          </w:tcPr>
          <w:p w14:paraId="0C68F067" w14:textId="77777777" w:rsidR="00C41D0A" w:rsidRDefault="00C41D0A">
            <w:pPr>
              <w:jc w:val="center"/>
              <w:rPr>
                <w:rFonts w:ascii="Noto Sans" w:eastAsia="Noto Sans" w:hAnsi="Noto Sans" w:cs="Noto Sans"/>
                <w:b/>
                <w:bCs/>
                <w:color w:val="FFFFFF"/>
                <w:sz w:val="16"/>
                <w:szCs w:val="16"/>
              </w:rPr>
            </w:pPr>
          </w:p>
        </w:tc>
        <w:tc>
          <w:tcPr>
            <w:tcW w:w="6804" w:type="dxa"/>
            <w:gridSpan w:val="5"/>
            <w:shd w:val="clear" w:color="auto" w:fill="595959"/>
            <w:vAlign w:val="center"/>
          </w:tcPr>
          <w:p w14:paraId="30DB50A6"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VOLUMEN (PIEZAS)</w:t>
            </w:r>
          </w:p>
        </w:tc>
      </w:tr>
      <w:tr w:rsidR="00C41D0A" w14:paraId="4742D03B" w14:textId="77777777">
        <w:trPr>
          <w:trHeight w:val="460"/>
        </w:trPr>
        <w:tc>
          <w:tcPr>
            <w:tcW w:w="1276" w:type="dxa"/>
            <w:shd w:val="clear" w:color="auto" w:fill="595959"/>
            <w:vAlign w:val="center"/>
          </w:tcPr>
          <w:p w14:paraId="03D64AF5"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Clave</w:t>
            </w:r>
          </w:p>
        </w:tc>
        <w:tc>
          <w:tcPr>
            <w:tcW w:w="2977" w:type="dxa"/>
            <w:shd w:val="clear" w:color="auto" w:fill="595959"/>
            <w:vAlign w:val="center"/>
          </w:tcPr>
          <w:p w14:paraId="4F065BFD"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Descripción</w:t>
            </w:r>
          </w:p>
        </w:tc>
        <w:tc>
          <w:tcPr>
            <w:tcW w:w="1276" w:type="dxa"/>
            <w:shd w:val="clear" w:color="auto" w:fill="595959"/>
            <w:vAlign w:val="center"/>
          </w:tcPr>
          <w:p w14:paraId="4203E196"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 xml:space="preserve">2026 </w:t>
            </w:r>
          </w:p>
        </w:tc>
        <w:tc>
          <w:tcPr>
            <w:tcW w:w="1275" w:type="dxa"/>
            <w:shd w:val="clear" w:color="auto" w:fill="595959"/>
            <w:vAlign w:val="center"/>
          </w:tcPr>
          <w:p w14:paraId="29F207D1"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2027</w:t>
            </w:r>
          </w:p>
        </w:tc>
        <w:tc>
          <w:tcPr>
            <w:tcW w:w="1418" w:type="dxa"/>
            <w:shd w:val="clear" w:color="auto" w:fill="595959"/>
            <w:vAlign w:val="center"/>
          </w:tcPr>
          <w:p w14:paraId="4522ABFA"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2028</w:t>
            </w:r>
          </w:p>
        </w:tc>
        <w:tc>
          <w:tcPr>
            <w:tcW w:w="1417" w:type="dxa"/>
            <w:shd w:val="clear" w:color="auto" w:fill="595959"/>
            <w:vAlign w:val="center"/>
          </w:tcPr>
          <w:p w14:paraId="5E2C617F"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2029</w:t>
            </w:r>
          </w:p>
        </w:tc>
        <w:tc>
          <w:tcPr>
            <w:tcW w:w="1418" w:type="dxa"/>
            <w:shd w:val="clear" w:color="auto" w:fill="595959"/>
            <w:vAlign w:val="center"/>
          </w:tcPr>
          <w:p w14:paraId="67A53082" w14:textId="77777777" w:rsidR="00C41D0A" w:rsidRDefault="0057227D">
            <w:pPr>
              <w:jc w:val="center"/>
              <w:rPr>
                <w:rFonts w:ascii="Noto Sans" w:eastAsia="Noto Sans" w:hAnsi="Noto Sans" w:cs="Noto Sans"/>
                <w:b/>
                <w:bCs/>
                <w:color w:val="FFFFFF"/>
                <w:sz w:val="14"/>
                <w:szCs w:val="14"/>
              </w:rPr>
            </w:pPr>
            <w:r>
              <w:rPr>
                <w:rFonts w:ascii="Noto Sans" w:eastAsia="Noto Sans" w:hAnsi="Noto Sans" w:cs="Noto Sans"/>
                <w:b/>
                <w:bCs/>
                <w:color w:val="FFFFFF"/>
                <w:sz w:val="14"/>
                <w:szCs w:val="14"/>
              </w:rPr>
              <w:t>2030</w:t>
            </w:r>
          </w:p>
        </w:tc>
      </w:tr>
      <w:tr w:rsidR="00C41D0A" w14:paraId="5549CC11" w14:textId="77777777">
        <w:trPr>
          <w:trHeight w:val="300"/>
        </w:trPr>
        <w:tc>
          <w:tcPr>
            <w:tcW w:w="1276" w:type="dxa"/>
            <w:vAlign w:val="center"/>
          </w:tcPr>
          <w:p w14:paraId="693B3B9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010.000.5165.00</w:t>
            </w:r>
          </w:p>
        </w:tc>
        <w:tc>
          <w:tcPr>
            <w:tcW w:w="2977" w:type="dxa"/>
            <w:vAlign w:val="center"/>
          </w:tcPr>
          <w:p w14:paraId="206975E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METFORMINA. TABLETA CADA TABLETA CONTIENE: CLORHIDRATO DE METFORMINA 850 MG. ENVASE CON 30 TABLETAS.</w:t>
            </w:r>
          </w:p>
        </w:tc>
        <w:tc>
          <w:tcPr>
            <w:tcW w:w="1276" w:type="dxa"/>
            <w:vAlign w:val="center"/>
          </w:tcPr>
          <w:p w14:paraId="08DE0B26"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2,123,142</w:t>
            </w:r>
          </w:p>
        </w:tc>
        <w:tc>
          <w:tcPr>
            <w:tcW w:w="1275" w:type="dxa"/>
            <w:vAlign w:val="center"/>
          </w:tcPr>
          <w:p w14:paraId="495E628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4,246,284</w:t>
            </w:r>
          </w:p>
        </w:tc>
        <w:tc>
          <w:tcPr>
            <w:tcW w:w="1418" w:type="dxa"/>
            <w:vAlign w:val="center"/>
          </w:tcPr>
          <w:p w14:paraId="44F7D2C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4,670,913</w:t>
            </w:r>
          </w:p>
        </w:tc>
        <w:tc>
          <w:tcPr>
            <w:tcW w:w="1417" w:type="dxa"/>
            <w:vAlign w:val="center"/>
          </w:tcPr>
          <w:p w14:paraId="725EEDE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5,138,005</w:t>
            </w:r>
          </w:p>
        </w:tc>
        <w:tc>
          <w:tcPr>
            <w:tcW w:w="1418" w:type="dxa"/>
            <w:vAlign w:val="center"/>
          </w:tcPr>
          <w:p w14:paraId="3EDA3C5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5,651,806</w:t>
            </w:r>
          </w:p>
        </w:tc>
      </w:tr>
      <w:tr w:rsidR="00C41D0A" w14:paraId="67F78217" w14:textId="77777777">
        <w:trPr>
          <w:trHeight w:val="300"/>
        </w:trPr>
        <w:tc>
          <w:tcPr>
            <w:tcW w:w="1276" w:type="dxa"/>
            <w:vAlign w:val="center"/>
          </w:tcPr>
          <w:p w14:paraId="0B2688B0"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010.000.5621.00</w:t>
            </w:r>
          </w:p>
        </w:tc>
        <w:tc>
          <w:tcPr>
            <w:tcW w:w="2977" w:type="dxa"/>
            <w:vAlign w:val="center"/>
          </w:tcPr>
          <w:p w14:paraId="6056799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LINAGLIPTINA. TABLETA. CADA TABLETA CONTIENE: LINAGLIPTINA 5 MG. ENVASE CON 30 TABLETAS.</w:t>
            </w:r>
          </w:p>
        </w:tc>
        <w:tc>
          <w:tcPr>
            <w:tcW w:w="1276" w:type="dxa"/>
            <w:vAlign w:val="center"/>
          </w:tcPr>
          <w:p w14:paraId="70846648"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1,231,884</w:t>
            </w:r>
          </w:p>
        </w:tc>
        <w:tc>
          <w:tcPr>
            <w:tcW w:w="1275" w:type="dxa"/>
            <w:vAlign w:val="center"/>
          </w:tcPr>
          <w:p w14:paraId="2254C7B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2,463,768</w:t>
            </w:r>
          </w:p>
        </w:tc>
        <w:tc>
          <w:tcPr>
            <w:tcW w:w="1418" w:type="dxa"/>
            <w:vAlign w:val="center"/>
          </w:tcPr>
          <w:p w14:paraId="297EEFE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2,710,145</w:t>
            </w:r>
          </w:p>
        </w:tc>
        <w:tc>
          <w:tcPr>
            <w:tcW w:w="1417" w:type="dxa"/>
            <w:vAlign w:val="center"/>
          </w:tcPr>
          <w:p w14:paraId="05C5654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2,981,160</w:t>
            </w:r>
          </w:p>
        </w:tc>
        <w:tc>
          <w:tcPr>
            <w:tcW w:w="1418" w:type="dxa"/>
            <w:vAlign w:val="center"/>
          </w:tcPr>
          <w:p w14:paraId="00CA324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3,279,276</w:t>
            </w:r>
          </w:p>
        </w:tc>
      </w:tr>
      <w:tr w:rsidR="00C41D0A" w14:paraId="0D27003B" w14:textId="77777777">
        <w:trPr>
          <w:trHeight w:val="300"/>
        </w:trPr>
        <w:tc>
          <w:tcPr>
            <w:tcW w:w="1276" w:type="dxa"/>
            <w:vAlign w:val="center"/>
          </w:tcPr>
          <w:p w14:paraId="1D46A45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010.000.6007.01</w:t>
            </w:r>
          </w:p>
        </w:tc>
        <w:tc>
          <w:tcPr>
            <w:tcW w:w="2977" w:type="dxa"/>
            <w:vAlign w:val="center"/>
          </w:tcPr>
          <w:p w14:paraId="3A1A9550"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DAPAGLIFLOZINA. TABLETA. CADA TABLETA CONTIENE: DAPAGLIFLOZINA PROPANODIOL EQUIVALENTE A 10 MG DE DAPAGLIFLOZINA. ENVASE CON 28 TABLETAS.</w:t>
            </w:r>
          </w:p>
        </w:tc>
        <w:tc>
          <w:tcPr>
            <w:tcW w:w="1276" w:type="dxa"/>
            <w:vAlign w:val="center"/>
          </w:tcPr>
          <w:p w14:paraId="28DEE86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1,029,468</w:t>
            </w:r>
          </w:p>
        </w:tc>
        <w:tc>
          <w:tcPr>
            <w:tcW w:w="1275" w:type="dxa"/>
            <w:vAlign w:val="center"/>
          </w:tcPr>
          <w:p w14:paraId="0A86255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2,058,936</w:t>
            </w:r>
          </w:p>
        </w:tc>
        <w:tc>
          <w:tcPr>
            <w:tcW w:w="1418" w:type="dxa"/>
            <w:vAlign w:val="center"/>
          </w:tcPr>
          <w:p w14:paraId="57541CE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2,264,830</w:t>
            </w:r>
          </w:p>
        </w:tc>
        <w:tc>
          <w:tcPr>
            <w:tcW w:w="1417" w:type="dxa"/>
            <w:vAlign w:val="center"/>
          </w:tcPr>
          <w:p w14:paraId="50E4B12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2,491,313</w:t>
            </w:r>
          </w:p>
        </w:tc>
        <w:tc>
          <w:tcPr>
            <w:tcW w:w="1418" w:type="dxa"/>
            <w:vAlign w:val="center"/>
          </w:tcPr>
          <w:p w14:paraId="706C7DE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2,740,445</w:t>
            </w:r>
          </w:p>
        </w:tc>
      </w:tr>
      <w:tr w:rsidR="00C41D0A" w14:paraId="66123E2F" w14:textId="77777777">
        <w:trPr>
          <w:trHeight w:val="300"/>
        </w:trPr>
        <w:tc>
          <w:tcPr>
            <w:tcW w:w="1276" w:type="dxa"/>
            <w:vAlign w:val="center"/>
          </w:tcPr>
          <w:p w14:paraId="2C408DE8"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010.000.1042.00</w:t>
            </w:r>
          </w:p>
        </w:tc>
        <w:tc>
          <w:tcPr>
            <w:tcW w:w="2977" w:type="dxa"/>
            <w:vAlign w:val="center"/>
          </w:tcPr>
          <w:p w14:paraId="4390D92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GLIBENCLAMIDA. TABLETA CADA TABLETA CONTIENE: GLIBENCLAMIDA 5 MG. ENVASE CON 50 TABLETAS.</w:t>
            </w:r>
          </w:p>
        </w:tc>
        <w:tc>
          <w:tcPr>
            <w:tcW w:w="1276" w:type="dxa"/>
            <w:vAlign w:val="center"/>
          </w:tcPr>
          <w:p w14:paraId="26E72E72"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986,706</w:t>
            </w:r>
          </w:p>
        </w:tc>
        <w:tc>
          <w:tcPr>
            <w:tcW w:w="1275" w:type="dxa"/>
            <w:vAlign w:val="center"/>
          </w:tcPr>
          <w:p w14:paraId="0DED824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1,973,412</w:t>
            </w:r>
          </w:p>
        </w:tc>
        <w:tc>
          <w:tcPr>
            <w:tcW w:w="1418" w:type="dxa"/>
            <w:vAlign w:val="center"/>
          </w:tcPr>
          <w:p w14:paraId="6BAB1CA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2,170,754</w:t>
            </w:r>
          </w:p>
        </w:tc>
        <w:tc>
          <w:tcPr>
            <w:tcW w:w="1417" w:type="dxa"/>
            <w:vAlign w:val="center"/>
          </w:tcPr>
          <w:p w14:paraId="1E781EF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2,387,830</w:t>
            </w:r>
          </w:p>
        </w:tc>
        <w:tc>
          <w:tcPr>
            <w:tcW w:w="1418" w:type="dxa"/>
            <w:vAlign w:val="center"/>
          </w:tcPr>
          <w:p w14:paraId="0148EF5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2,626,613</w:t>
            </w:r>
          </w:p>
        </w:tc>
      </w:tr>
      <w:tr w:rsidR="00C41D0A" w14:paraId="79A82070" w14:textId="77777777">
        <w:trPr>
          <w:trHeight w:val="300"/>
        </w:trPr>
        <w:tc>
          <w:tcPr>
            <w:tcW w:w="1276" w:type="dxa"/>
            <w:vAlign w:val="center"/>
          </w:tcPr>
          <w:p w14:paraId="64E874A7"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010.000.4152.01</w:t>
            </w:r>
          </w:p>
        </w:tc>
        <w:tc>
          <w:tcPr>
            <w:tcW w:w="2977" w:type="dxa"/>
            <w:vAlign w:val="center"/>
          </w:tcPr>
          <w:p w14:paraId="44D01F5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SITAGLIPTINA. COMPRIMIDO CADA COMPRIMIDO CONTIENE: FOSFATO DE SITAGLIPTINAMONOHIDRATADA EQUIVALENTE A 100 MG DE SITAGLIPTINA ENVASE CON 28 COMPRIMIDOS.</w:t>
            </w:r>
          </w:p>
        </w:tc>
        <w:tc>
          <w:tcPr>
            <w:tcW w:w="1276" w:type="dxa"/>
            <w:vAlign w:val="center"/>
          </w:tcPr>
          <w:p w14:paraId="7F4ED299"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866,676</w:t>
            </w:r>
          </w:p>
        </w:tc>
        <w:tc>
          <w:tcPr>
            <w:tcW w:w="1275" w:type="dxa"/>
            <w:vAlign w:val="center"/>
          </w:tcPr>
          <w:p w14:paraId="0DF225C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1,733,352</w:t>
            </w:r>
          </w:p>
        </w:tc>
        <w:tc>
          <w:tcPr>
            <w:tcW w:w="1418" w:type="dxa"/>
            <w:vAlign w:val="center"/>
          </w:tcPr>
          <w:p w14:paraId="1DA10AC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1,906,688</w:t>
            </w:r>
          </w:p>
        </w:tc>
        <w:tc>
          <w:tcPr>
            <w:tcW w:w="1417" w:type="dxa"/>
            <w:vAlign w:val="center"/>
          </w:tcPr>
          <w:p w14:paraId="462858C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2,097,357</w:t>
            </w:r>
          </w:p>
        </w:tc>
        <w:tc>
          <w:tcPr>
            <w:tcW w:w="1418" w:type="dxa"/>
            <w:vAlign w:val="center"/>
          </w:tcPr>
          <w:p w14:paraId="14E393C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2,307,093</w:t>
            </w:r>
          </w:p>
        </w:tc>
      </w:tr>
      <w:tr w:rsidR="00C41D0A" w14:paraId="1D581200" w14:textId="77777777">
        <w:trPr>
          <w:trHeight w:val="300"/>
        </w:trPr>
        <w:tc>
          <w:tcPr>
            <w:tcW w:w="1276" w:type="dxa"/>
            <w:vAlign w:val="center"/>
          </w:tcPr>
          <w:p w14:paraId="41F153E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010.000.2111.01</w:t>
            </w:r>
          </w:p>
        </w:tc>
        <w:tc>
          <w:tcPr>
            <w:tcW w:w="2977" w:type="dxa"/>
            <w:vAlign w:val="center"/>
          </w:tcPr>
          <w:p w14:paraId="622CE8C9"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AMLODIPINO. TABLETA O CÁPSULA CADA TABLETA O CÁPSULA CONTIENE: BESILATO O MALEATO DE AMLODIPINO EQUIVALENTE A 5 MG DE AMLODIPINO. ENVASE CON 30 TABLETAS O CÁPSULAS.</w:t>
            </w:r>
          </w:p>
        </w:tc>
        <w:tc>
          <w:tcPr>
            <w:tcW w:w="1276" w:type="dxa"/>
            <w:vAlign w:val="center"/>
          </w:tcPr>
          <w:p w14:paraId="6FEB4A5F"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834,984</w:t>
            </w:r>
          </w:p>
        </w:tc>
        <w:tc>
          <w:tcPr>
            <w:tcW w:w="1275" w:type="dxa"/>
            <w:vAlign w:val="center"/>
          </w:tcPr>
          <w:p w14:paraId="3091192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1,669,968</w:t>
            </w:r>
          </w:p>
        </w:tc>
        <w:tc>
          <w:tcPr>
            <w:tcW w:w="1418" w:type="dxa"/>
            <w:vAlign w:val="center"/>
          </w:tcPr>
          <w:p w14:paraId="497F6DC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1,836,965</w:t>
            </w:r>
          </w:p>
        </w:tc>
        <w:tc>
          <w:tcPr>
            <w:tcW w:w="1417" w:type="dxa"/>
            <w:vAlign w:val="center"/>
          </w:tcPr>
          <w:p w14:paraId="38A4098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2,020,662</w:t>
            </w:r>
          </w:p>
        </w:tc>
        <w:tc>
          <w:tcPr>
            <w:tcW w:w="1418" w:type="dxa"/>
            <w:vAlign w:val="center"/>
          </w:tcPr>
          <w:p w14:paraId="080E081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2,222,729</w:t>
            </w:r>
          </w:p>
        </w:tc>
      </w:tr>
      <w:tr w:rsidR="00C41D0A" w14:paraId="4892A92D" w14:textId="77777777">
        <w:trPr>
          <w:trHeight w:val="300"/>
        </w:trPr>
        <w:tc>
          <w:tcPr>
            <w:tcW w:w="1276" w:type="dxa"/>
            <w:vAlign w:val="center"/>
          </w:tcPr>
          <w:p w14:paraId="56B748B7"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010.000.2307.00</w:t>
            </w:r>
          </w:p>
        </w:tc>
        <w:tc>
          <w:tcPr>
            <w:tcW w:w="2977" w:type="dxa"/>
            <w:vAlign w:val="center"/>
          </w:tcPr>
          <w:p w14:paraId="506D6F98"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FUROSEMIDA. TABLETA. CADA TABLETA CONTIENE: FUROSEMIDA 40 MG ENVASE CON 20 TABLETAS.</w:t>
            </w:r>
          </w:p>
        </w:tc>
        <w:tc>
          <w:tcPr>
            <w:tcW w:w="1276" w:type="dxa"/>
            <w:vAlign w:val="center"/>
          </w:tcPr>
          <w:p w14:paraId="115EEF44"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646,212</w:t>
            </w:r>
          </w:p>
        </w:tc>
        <w:tc>
          <w:tcPr>
            <w:tcW w:w="1275" w:type="dxa"/>
            <w:vAlign w:val="center"/>
          </w:tcPr>
          <w:p w14:paraId="020DBD6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1,292,424</w:t>
            </w:r>
          </w:p>
        </w:tc>
        <w:tc>
          <w:tcPr>
            <w:tcW w:w="1418" w:type="dxa"/>
            <w:vAlign w:val="center"/>
          </w:tcPr>
          <w:p w14:paraId="6427C6A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1,421,667</w:t>
            </w:r>
          </w:p>
        </w:tc>
        <w:tc>
          <w:tcPr>
            <w:tcW w:w="1417" w:type="dxa"/>
            <w:vAlign w:val="center"/>
          </w:tcPr>
          <w:p w14:paraId="64FCAAE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1,563,834</w:t>
            </w:r>
          </w:p>
        </w:tc>
        <w:tc>
          <w:tcPr>
            <w:tcW w:w="1418" w:type="dxa"/>
            <w:vAlign w:val="center"/>
          </w:tcPr>
          <w:p w14:paraId="4C35D75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1,720,218</w:t>
            </w:r>
          </w:p>
        </w:tc>
      </w:tr>
      <w:tr w:rsidR="00C41D0A" w14:paraId="1325C465" w14:textId="77777777">
        <w:trPr>
          <w:trHeight w:val="300"/>
        </w:trPr>
        <w:tc>
          <w:tcPr>
            <w:tcW w:w="1276" w:type="dxa"/>
            <w:vAlign w:val="center"/>
          </w:tcPr>
          <w:p w14:paraId="3D71004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010.000.2501.00</w:t>
            </w:r>
          </w:p>
        </w:tc>
        <w:tc>
          <w:tcPr>
            <w:tcW w:w="2977" w:type="dxa"/>
            <w:vAlign w:val="center"/>
          </w:tcPr>
          <w:p w14:paraId="3323C6CF"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ENALAPRIL O LISINOPRIL O RAMIPRIL CAPSULA O TABLETA CADA CAPSULA O TABLETACONTIENE: MALEATO DE ENALAPRIL 10 MG O LISINOPRIL 10 MG O RAMIPRIL 10 MG  ENVASE CON 30 CAPSULAS O TABLETAS.</w:t>
            </w:r>
          </w:p>
        </w:tc>
        <w:tc>
          <w:tcPr>
            <w:tcW w:w="1276" w:type="dxa"/>
            <w:vAlign w:val="center"/>
          </w:tcPr>
          <w:p w14:paraId="7E8EBD13"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377,778</w:t>
            </w:r>
          </w:p>
        </w:tc>
        <w:tc>
          <w:tcPr>
            <w:tcW w:w="1275" w:type="dxa"/>
            <w:vAlign w:val="center"/>
          </w:tcPr>
          <w:p w14:paraId="44F885D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755,556</w:t>
            </w:r>
          </w:p>
        </w:tc>
        <w:tc>
          <w:tcPr>
            <w:tcW w:w="1418" w:type="dxa"/>
            <w:vAlign w:val="center"/>
          </w:tcPr>
          <w:p w14:paraId="0D33D11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831,112</w:t>
            </w:r>
          </w:p>
        </w:tc>
        <w:tc>
          <w:tcPr>
            <w:tcW w:w="1417" w:type="dxa"/>
            <w:vAlign w:val="center"/>
          </w:tcPr>
          <w:p w14:paraId="17E9317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914,224</w:t>
            </w:r>
          </w:p>
        </w:tc>
        <w:tc>
          <w:tcPr>
            <w:tcW w:w="1418" w:type="dxa"/>
            <w:vAlign w:val="center"/>
          </w:tcPr>
          <w:p w14:paraId="681BF22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1,005,647</w:t>
            </w:r>
          </w:p>
        </w:tc>
      </w:tr>
      <w:tr w:rsidR="00C41D0A" w14:paraId="7A9D66B5" w14:textId="77777777">
        <w:trPr>
          <w:trHeight w:val="300"/>
        </w:trPr>
        <w:tc>
          <w:tcPr>
            <w:tcW w:w="1276" w:type="dxa"/>
            <w:vAlign w:val="center"/>
          </w:tcPr>
          <w:p w14:paraId="2AEC24B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010.000.2540.00</w:t>
            </w:r>
          </w:p>
        </w:tc>
        <w:tc>
          <w:tcPr>
            <w:tcW w:w="2977" w:type="dxa"/>
            <w:vAlign w:val="center"/>
          </w:tcPr>
          <w:p w14:paraId="4048778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TELMISARTAN TABLETA CADA TABLETA CONTIENE: TELMISARTAN 40 MG ENVASE CON 30TABLETAS.</w:t>
            </w:r>
          </w:p>
        </w:tc>
        <w:tc>
          <w:tcPr>
            <w:tcW w:w="1276" w:type="dxa"/>
            <w:vAlign w:val="center"/>
          </w:tcPr>
          <w:p w14:paraId="371DB4EE"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363,900</w:t>
            </w:r>
          </w:p>
        </w:tc>
        <w:tc>
          <w:tcPr>
            <w:tcW w:w="1275" w:type="dxa"/>
            <w:vAlign w:val="center"/>
          </w:tcPr>
          <w:p w14:paraId="09B2EE3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727,800</w:t>
            </w:r>
          </w:p>
        </w:tc>
        <w:tc>
          <w:tcPr>
            <w:tcW w:w="1418" w:type="dxa"/>
            <w:vAlign w:val="center"/>
          </w:tcPr>
          <w:p w14:paraId="3069B96E"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800,580</w:t>
            </w:r>
          </w:p>
        </w:tc>
        <w:tc>
          <w:tcPr>
            <w:tcW w:w="1417" w:type="dxa"/>
            <w:vAlign w:val="center"/>
          </w:tcPr>
          <w:p w14:paraId="62FB77B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880,638</w:t>
            </w:r>
          </w:p>
        </w:tc>
        <w:tc>
          <w:tcPr>
            <w:tcW w:w="1418" w:type="dxa"/>
            <w:vAlign w:val="center"/>
          </w:tcPr>
          <w:p w14:paraId="642BAD1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968,702</w:t>
            </w:r>
          </w:p>
        </w:tc>
      </w:tr>
      <w:tr w:rsidR="00C41D0A" w14:paraId="1232392B" w14:textId="77777777">
        <w:trPr>
          <w:trHeight w:val="300"/>
        </w:trPr>
        <w:tc>
          <w:tcPr>
            <w:tcW w:w="1276" w:type="dxa"/>
            <w:vAlign w:val="center"/>
          </w:tcPr>
          <w:p w14:paraId="037A35E7"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010.000.0655.00</w:t>
            </w:r>
          </w:p>
        </w:tc>
        <w:tc>
          <w:tcPr>
            <w:tcW w:w="2977" w:type="dxa"/>
            <w:vAlign w:val="center"/>
          </w:tcPr>
          <w:p w14:paraId="0272940C"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BEZAFIBRATO TABLETA CADA TABLETA CONTIENE: BEZAFIBRATO 200 MG ENVASE CON 30TABLETAS.</w:t>
            </w:r>
          </w:p>
        </w:tc>
        <w:tc>
          <w:tcPr>
            <w:tcW w:w="1276" w:type="dxa"/>
            <w:vAlign w:val="center"/>
          </w:tcPr>
          <w:p w14:paraId="00A63B86"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327,162</w:t>
            </w:r>
          </w:p>
        </w:tc>
        <w:tc>
          <w:tcPr>
            <w:tcW w:w="1275" w:type="dxa"/>
            <w:vAlign w:val="center"/>
          </w:tcPr>
          <w:p w14:paraId="044628C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654,324</w:t>
            </w:r>
          </w:p>
        </w:tc>
        <w:tc>
          <w:tcPr>
            <w:tcW w:w="1418" w:type="dxa"/>
            <w:vAlign w:val="center"/>
          </w:tcPr>
          <w:p w14:paraId="1296FB0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719,757</w:t>
            </w:r>
          </w:p>
        </w:tc>
        <w:tc>
          <w:tcPr>
            <w:tcW w:w="1417" w:type="dxa"/>
            <w:vAlign w:val="center"/>
          </w:tcPr>
          <w:p w14:paraId="4529371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791,733</w:t>
            </w:r>
          </w:p>
        </w:tc>
        <w:tc>
          <w:tcPr>
            <w:tcW w:w="1418" w:type="dxa"/>
            <w:vAlign w:val="center"/>
          </w:tcPr>
          <w:p w14:paraId="5932F01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870,907</w:t>
            </w:r>
          </w:p>
        </w:tc>
      </w:tr>
      <w:tr w:rsidR="00C41D0A" w14:paraId="5E85EDFE" w14:textId="77777777">
        <w:trPr>
          <w:trHeight w:val="300"/>
        </w:trPr>
        <w:tc>
          <w:tcPr>
            <w:tcW w:w="1276" w:type="dxa"/>
            <w:vAlign w:val="center"/>
          </w:tcPr>
          <w:p w14:paraId="2BC7D5A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010.000.2301.00</w:t>
            </w:r>
          </w:p>
        </w:tc>
        <w:tc>
          <w:tcPr>
            <w:tcW w:w="2977" w:type="dxa"/>
            <w:vAlign w:val="center"/>
          </w:tcPr>
          <w:p w14:paraId="2C5D2A6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HIDROCLOROTIAZIDA DE 25 MG, TABLETA, ENVASE CON 20 TABLETAS.</w:t>
            </w:r>
          </w:p>
        </w:tc>
        <w:tc>
          <w:tcPr>
            <w:tcW w:w="1276" w:type="dxa"/>
            <w:vAlign w:val="center"/>
          </w:tcPr>
          <w:p w14:paraId="0D2FD7F5"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291,126</w:t>
            </w:r>
          </w:p>
        </w:tc>
        <w:tc>
          <w:tcPr>
            <w:tcW w:w="1275" w:type="dxa"/>
            <w:vAlign w:val="center"/>
          </w:tcPr>
          <w:p w14:paraId="7F7C8A1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582,252</w:t>
            </w:r>
          </w:p>
        </w:tc>
        <w:tc>
          <w:tcPr>
            <w:tcW w:w="1418" w:type="dxa"/>
            <w:vAlign w:val="center"/>
          </w:tcPr>
          <w:p w14:paraId="67CBC95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640,478</w:t>
            </w:r>
          </w:p>
        </w:tc>
        <w:tc>
          <w:tcPr>
            <w:tcW w:w="1417" w:type="dxa"/>
            <w:vAlign w:val="center"/>
          </w:tcPr>
          <w:p w14:paraId="0FF7CEA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704,526</w:t>
            </w:r>
          </w:p>
        </w:tc>
        <w:tc>
          <w:tcPr>
            <w:tcW w:w="1418" w:type="dxa"/>
            <w:vAlign w:val="center"/>
          </w:tcPr>
          <w:p w14:paraId="30C05B9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774,979</w:t>
            </w:r>
          </w:p>
        </w:tc>
      </w:tr>
      <w:tr w:rsidR="00C41D0A" w14:paraId="1CE7EC39" w14:textId="77777777">
        <w:trPr>
          <w:trHeight w:val="300"/>
        </w:trPr>
        <w:tc>
          <w:tcPr>
            <w:tcW w:w="1276" w:type="dxa"/>
            <w:vAlign w:val="center"/>
          </w:tcPr>
          <w:p w14:paraId="5308101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010.000.0599.00</w:t>
            </w:r>
          </w:p>
        </w:tc>
        <w:tc>
          <w:tcPr>
            <w:tcW w:w="2977" w:type="dxa"/>
            <w:vAlign w:val="center"/>
          </w:tcPr>
          <w:p w14:paraId="775D8AD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NIFEDIPINO. COMPRIMIDO DE LIBERACIÓN PROLONGADA CADA COMPRIMIDO CONTIENE: NIFEDIPINO 30 MG ENVASE CON 30 COMPRIMIDOS.</w:t>
            </w:r>
          </w:p>
        </w:tc>
        <w:tc>
          <w:tcPr>
            <w:tcW w:w="1276" w:type="dxa"/>
            <w:vAlign w:val="center"/>
          </w:tcPr>
          <w:p w14:paraId="5AA3F6BA"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270,180</w:t>
            </w:r>
          </w:p>
        </w:tc>
        <w:tc>
          <w:tcPr>
            <w:tcW w:w="1275" w:type="dxa"/>
            <w:vAlign w:val="center"/>
          </w:tcPr>
          <w:p w14:paraId="5F3D266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540,360</w:t>
            </w:r>
          </w:p>
        </w:tc>
        <w:tc>
          <w:tcPr>
            <w:tcW w:w="1418" w:type="dxa"/>
            <w:vAlign w:val="center"/>
          </w:tcPr>
          <w:p w14:paraId="47F6CEF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594,396</w:t>
            </w:r>
          </w:p>
        </w:tc>
        <w:tc>
          <w:tcPr>
            <w:tcW w:w="1417" w:type="dxa"/>
            <w:vAlign w:val="center"/>
          </w:tcPr>
          <w:p w14:paraId="626E2D7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653,836</w:t>
            </w:r>
          </w:p>
        </w:tc>
        <w:tc>
          <w:tcPr>
            <w:tcW w:w="1418" w:type="dxa"/>
            <w:vAlign w:val="center"/>
          </w:tcPr>
          <w:p w14:paraId="37D2613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719,220</w:t>
            </w:r>
          </w:p>
        </w:tc>
      </w:tr>
      <w:tr w:rsidR="00C41D0A" w14:paraId="34262EBA" w14:textId="77777777">
        <w:trPr>
          <w:trHeight w:val="300"/>
        </w:trPr>
        <w:tc>
          <w:tcPr>
            <w:tcW w:w="1276" w:type="dxa"/>
            <w:vAlign w:val="center"/>
          </w:tcPr>
          <w:p w14:paraId="085E0281"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010.000.2520.00</w:t>
            </w:r>
          </w:p>
        </w:tc>
        <w:tc>
          <w:tcPr>
            <w:tcW w:w="2977" w:type="dxa"/>
            <w:vAlign w:val="center"/>
          </w:tcPr>
          <w:p w14:paraId="1992C06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LOSARTAN GRAGEA O COMPRIMIDO RECUBIERTO CADA GRAGEA O COMPRIMIDO RECUBIERTOCONTIENE: LOSARTAN POTASICO 50 MG ENVASE CON 30 GRAGEAS O COMPRIMIDOSRECUBIERTOS.</w:t>
            </w:r>
          </w:p>
        </w:tc>
        <w:tc>
          <w:tcPr>
            <w:tcW w:w="1276" w:type="dxa"/>
            <w:vAlign w:val="center"/>
          </w:tcPr>
          <w:p w14:paraId="2DEB98A4"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217,986</w:t>
            </w:r>
          </w:p>
        </w:tc>
        <w:tc>
          <w:tcPr>
            <w:tcW w:w="1275" w:type="dxa"/>
            <w:vAlign w:val="center"/>
          </w:tcPr>
          <w:p w14:paraId="424B9D0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435,972</w:t>
            </w:r>
          </w:p>
        </w:tc>
        <w:tc>
          <w:tcPr>
            <w:tcW w:w="1418" w:type="dxa"/>
            <w:vAlign w:val="center"/>
          </w:tcPr>
          <w:p w14:paraId="69D3DA0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479,570</w:t>
            </w:r>
          </w:p>
        </w:tc>
        <w:tc>
          <w:tcPr>
            <w:tcW w:w="1417" w:type="dxa"/>
            <w:vAlign w:val="center"/>
          </w:tcPr>
          <w:p w14:paraId="7F60192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527,527</w:t>
            </w:r>
          </w:p>
        </w:tc>
        <w:tc>
          <w:tcPr>
            <w:tcW w:w="1418" w:type="dxa"/>
            <w:vAlign w:val="center"/>
          </w:tcPr>
          <w:p w14:paraId="24B0F7F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580,280</w:t>
            </w:r>
          </w:p>
        </w:tc>
      </w:tr>
      <w:tr w:rsidR="00C41D0A" w14:paraId="6263CB17" w14:textId="77777777">
        <w:trPr>
          <w:trHeight w:val="300"/>
        </w:trPr>
        <w:tc>
          <w:tcPr>
            <w:tcW w:w="1276" w:type="dxa"/>
            <w:vAlign w:val="center"/>
          </w:tcPr>
          <w:p w14:paraId="37DB678B"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010.000.0572.00</w:t>
            </w:r>
          </w:p>
        </w:tc>
        <w:tc>
          <w:tcPr>
            <w:tcW w:w="2977" w:type="dxa"/>
            <w:vAlign w:val="center"/>
          </w:tcPr>
          <w:p w14:paraId="77200E64"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METOPROLOL 100 MG ENVASE CON 20 TABLETAS.</w:t>
            </w:r>
          </w:p>
        </w:tc>
        <w:tc>
          <w:tcPr>
            <w:tcW w:w="1276" w:type="dxa"/>
            <w:vAlign w:val="center"/>
          </w:tcPr>
          <w:p w14:paraId="23D51CCC"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207,144</w:t>
            </w:r>
          </w:p>
        </w:tc>
        <w:tc>
          <w:tcPr>
            <w:tcW w:w="1275" w:type="dxa"/>
            <w:vAlign w:val="center"/>
          </w:tcPr>
          <w:p w14:paraId="41BE8B5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414,288</w:t>
            </w:r>
          </w:p>
        </w:tc>
        <w:tc>
          <w:tcPr>
            <w:tcW w:w="1418" w:type="dxa"/>
            <w:vAlign w:val="center"/>
          </w:tcPr>
          <w:p w14:paraId="45F52CA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455,717</w:t>
            </w:r>
          </w:p>
        </w:tc>
        <w:tc>
          <w:tcPr>
            <w:tcW w:w="1417" w:type="dxa"/>
            <w:vAlign w:val="center"/>
          </w:tcPr>
          <w:p w14:paraId="69BFC40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501,289</w:t>
            </w:r>
          </w:p>
        </w:tc>
        <w:tc>
          <w:tcPr>
            <w:tcW w:w="1418" w:type="dxa"/>
            <w:vAlign w:val="center"/>
          </w:tcPr>
          <w:p w14:paraId="7CD06947"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551,418</w:t>
            </w:r>
          </w:p>
        </w:tc>
      </w:tr>
      <w:tr w:rsidR="00C41D0A" w14:paraId="3743240F" w14:textId="77777777">
        <w:trPr>
          <w:trHeight w:val="300"/>
        </w:trPr>
        <w:tc>
          <w:tcPr>
            <w:tcW w:w="1276" w:type="dxa"/>
            <w:vAlign w:val="center"/>
          </w:tcPr>
          <w:p w14:paraId="29732CC4"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lastRenderedPageBreak/>
              <w:t>010.000.0596.00</w:t>
            </w:r>
          </w:p>
        </w:tc>
        <w:tc>
          <w:tcPr>
            <w:tcW w:w="2977" w:type="dxa"/>
            <w:vAlign w:val="center"/>
          </w:tcPr>
          <w:p w14:paraId="428914E6"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VERAPAMILO. GRAGEA O TABLETA RECUBIERTA CADA GRAGEA O TABLETA RECUBIERTA CONTIENE: CLORHIDRATO DE VERAPAMILO 80 MG ENVASE CON 20 GRAGEAS O TABLETAS RECUBIERTAS.</w:t>
            </w:r>
          </w:p>
        </w:tc>
        <w:tc>
          <w:tcPr>
            <w:tcW w:w="1276" w:type="dxa"/>
            <w:vAlign w:val="center"/>
          </w:tcPr>
          <w:p w14:paraId="1FF39027"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198,174</w:t>
            </w:r>
          </w:p>
        </w:tc>
        <w:tc>
          <w:tcPr>
            <w:tcW w:w="1275" w:type="dxa"/>
            <w:vAlign w:val="center"/>
          </w:tcPr>
          <w:p w14:paraId="5DEDDE6A"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396,348</w:t>
            </w:r>
          </w:p>
        </w:tc>
        <w:tc>
          <w:tcPr>
            <w:tcW w:w="1418" w:type="dxa"/>
            <w:vAlign w:val="center"/>
          </w:tcPr>
          <w:p w14:paraId="097A75D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435,983</w:t>
            </w:r>
          </w:p>
        </w:tc>
        <w:tc>
          <w:tcPr>
            <w:tcW w:w="1417" w:type="dxa"/>
            <w:vAlign w:val="center"/>
          </w:tcPr>
          <w:p w14:paraId="3A072061"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479,582</w:t>
            </w:r>
          </w:p>
        </w:tc>
        <w:tc>
          <w:tcPr>
            <w:tcW w:w="1418" w:type="dxa"/>
            <w:vAlign w:val="center"/>
          </w:tcPr>
          <w:p w14:paraId="3E72055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527,541</w:t>
            </w:r>
          </w:p>
        </w:tc>
      </w:tr>
      <w:tr w:rsidR="00C41D0A" w14:paraId="7CDC8312" w14:textId="77777777">
        <w:trPr>
          <w:trHeight w:val="300"/>
        </w:trPr>
        <w:tc>
          <w:tcPr>
            <w:tcW w:w="1276" w:type="dxa"/>
            <w:vAlign w:val="center"/>
          </w:tcPr>
          <w:p w14:paraId="25CB244C"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010.000.5106.01</w:t>
            </w:r>
          </w:p>
        </w:tc>
        <w:tc>
          <w:tcPr>
            <w:tcW w:w="2977" w:type="dxa"/>
            <w:vAlign w:val="center"/>
          </w:tcPr>
          <w:p w14:paraId="7D3C511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ATORVASTATINA. TABLETA CADA TABLETA CONTIENE: ATORVASTATINA CALCICA TRIHIDRATADAEQUIVALENTE A 20 MG DE ATORVASTATINA. ENVASE CON 30 TABLETAS.</w:t>
            </w:r>
          </w:p>
        </w:tc>
        <w:tc>
          <w:tcPr>
            <w:tcW w:w="1276" w:type="dxa"/>
            <w:vAlign w:val="center"/>
          </w:tcPr>
          <w:p w14:paraId="0DFF1B19"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140,400</w:t>
            </w:r>
          </w:p>
        </w:tc>
        <w:tc>
          <w:tcPr>
            <w:tcW w:w="1275" w:type="dxa"/>
            <w:vAlign w:val="center"/>
          </w:tcPr>
          <w:p w14:paraId="0EBF55CB"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280,800</w:t>
            </w:r>
          </w:p>
        </w:tc>
        <w:tc>
          <w:tcPr>
            <w:tcW w:w="1418" w:type="dxa"/>
            <w:vAlign w:val="center"/>
          </w:tcPr>
          <w:p w14:paraId="5D4AF9B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308,880</w:t>
            </w:r>
          </w:p>
        </w:tc>
        <w:tc>
          <w:tcPr>
            <w:tcW w:w="1417" w:type="dxa"/>
            <w:vAlign w:val="center"/>
          </w:tcPr>
          <w:p w14:paraId="205A47A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339,768</w:t>
            </w:r>
          </w:p>
        </w:tc>
        <w:tc>
          <w:tcPr>
            <w:tcW w:w="1418" w:type="dxa"/>
            <w:vAlign w:val="center"/>
          </w:tcPr>
          <w:p w14:paraId="427AD22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373,745</w:t>
            </w:r>
          </w:p>
        </w:tc>
      </w:tr>
      <w:tr w:rsidR="00C41D0A" w14:paraId="2DF47444" w14:textId="77777777">
        <w:trPr>
          <w:trHeight w:val="300"/>
        </w:trPr>
        <w:tc>
          <w:tcPr>
            <w:tcW w:w="1276" w:type="dxa"/>
            <w:vAlign w:val="center"/>
          </w:tcPr>
          <w:p w14:paraId="329D3B2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010.000.5186.02</w:t>
            </w:r>
          </w:p>
        </w:tc>
        <w:tc>
          <w:tcPr>
            <w:tcW w:w="2977" w:type="dxa"/>
            <w:vAlign w:val="center"/>
          </w:tcPr>
          <w:p w14:paraId="54F248EA"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PANTOPRAZOL O RABEPRAZOL U OMEPRAZOL. TABLETA O GRAGEA O CÁPSULA CADA TABLETA O GRAGEA O CÁPSULA CONTIENE: PANTOPRAZOL 40 MG O RABEPRAZOL SÓDICO 20 MG U OMEPRAZOL 20 MG ENVASE CON 28 TABLETAS O GRAGEAS O CÁPSULAS</w:t>
            </w:r>
          </w:p>
        </w:tc>
        <w:tc>
          <w:tcPr>
            <w:tcW w:w="1276" w:type="dxa"/>
            <w:vAlign w:val="center"/>
          </w:tcPr>
          <w:p w14:paraId="6DE4105F"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122,760</w:t>
            </w:r>
          </w:p>
        </w:tc>
        <w:tc>
          <w:tcPr>
            <w:tcW w:w="1275" w:type="dxa"/>
            <w:vAlign w:val="center"/>
          </w:tcPr>
          <w:p w14:paraId="615504C5"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245,520</w:t>
            </w:r>
          </w:p>
        </w:tc>
        <w:tc>
          <w:tcPr>
            <w:tcW w:w="1418" w:type="dxa"/>
            <w:vAlign w:val="center"/>
          </w:tcPr>
          <w:p w14:paraId="15A4E7F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270,072</w:t>
            </w:r>
          </w:p>
        </w:tc>
        <w:tc>
          <w:tcPr>
            <w:tcW w:w="1417" w:type="dxa"/>
            <w:vAlign w:val="center"/>
          </w:tcPr>
          <w:p w14:paraId="7262AB04"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297,080</w:t>
            </w:r>
          </w:p>
        </w:tc>
        <w:tc>
          <w:tcPr>
            <w:tcW w:w="1418" w:type="dxa"/>
            <w:vAlign w:val="center"/>
          </w:tcPr>
          <w:p w14:paraId="4E47A79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326,788</w:t>
            </w:r>
          </w:p>
        </w:tc>
      </w:tr>
      <w:tr w:rsidR="00C41D0A" w14:paraId="7A9A081C" w14:textId="77777777">
        <w:trPr>
          <w:trHeight w:val="300"/>
        </w:trPr>
        <w:tc>
          <w:tcPr>
            <w:tcW w:w="1276" w:type="dxa"/>
            <w:vAlign w:val="center"/>
          </w:tcPr>
          <w:p w14:paraId="161D2195"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010.000.5941.00</w:t>
            </w:r>
          </w:p>
        </w:tc>
        <w:tc>
          <w:tcPr>
            <w:tcW w:w="2977" w:type="dxa"/>
            <w:vAlign w:val="center"/>
          </w:tcPr>
          <w:p w14:paraId="769E128A"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IBUPROFENO. TABLETA O CÁPSULA: CADA TABLETA O CÁPSULA CONTIENE: IBUPROFENO 400 MG ENVASE CON 10 TABLETAS O CÁPSULAS</w:t>
            </w:r>
          </w:p>
        </w:tc>
        <w:tc>
          <w:tcPr>
            <w:tcW w:w="1276" w:type="dxa"/>
            <w:vAlign w:val="center"/>
          </w:tcPr>
          <w:p w14:paraId="293A27ED"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67,044</w:t>
            </w:r>
          </w:p>
        </w:tc>
        <w:tc>
          <w:tcPr>
            <w:tcW w:w="1275" w:type="dxa"/>
            <w:vAlign w:val="center"/>
          </w:tcPr>
          <w:p w14:paraId="371A893D"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134,088</w:t>
            </w:r>
          </w:p>
        </w:tc>
        <w:tc>
          <w:tcPr>
            <w:tcW w:w="1418" w:type="dxa"/>
            <w:vAlign w:val="center"/>
          </w:tcPr>
          <w:p w14:paraId="100FB058"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147,497</w:t>
            </w:r>
          </w:p>
        </w:tc>
        <w:tc>
          <w:tcPr>
            <w:tcW w:w="1417" w:type="dxa"/>
            <w:vAlign w:val="center"/>
          </w:tcPr>
          <w:p w14:paraId="44ECE8E0"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162,247</w:t>
            </w:r>
          </w:p>
        </w:tc>
        <w:tc>
          <w:tcPr>
            <w:tcW w:w="1418" w:type="dxa"/>
            <w:vAlign w:val="center"/>
          </w:tcPr>
          <w:p w14:paraId="4FAEA91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178,472</w:t>
            </w:r>
          </w:p>
        </w:tc>
      </w:tr>
      <w:tr w:rsidR="00C41D0A" w14:paraId="3338282F" w14:textId="77777777">
        <w:trPr>
          <w:trHeight w:val="300"/>
        </w:trPr>
        <w:tc>
          <w:tcPr>
            <w:tcW w:w="1276" w:type="dxa"/>
            <w:vAlign w:val="center"/>
          </w:tcPr>
          <w:p w14:paraId="023606D2"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010.000.0104.00</w:t>
            </w:r>
          </w:p>
        </w:tc>
        <w:tc>
          <w:tcPr>
            <w:tcW w:w="2977" w:type="dxa"/>
            <w:vAlign w:val="center"/>
          </w:tcPr>
          <w:p w14:paraId="6DB06873"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PARACETAMOL. TABLETA CADA TABLETA CONTIENE: PARACETAMOL 500 MG. ENVASE CON 10 TABLETAS.</w:t>
            </w:r>
          </w:p>
        </w:tc>
        <w:tc>
          <w:tcPr>
            <w:tcW w:w="1276" w:type="dxa"/>
            <w:vAlign w:val="center"/>
          </w:tcPr>
          <w:p w14:paraId="23A3EC88"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55,344</w:t>
            </w:r>
          </w:p>
        </w:tc>
        <w:tc>
          <w:tcPr>
            <w:tcW w:w="1275" w:type="dxa"/>
            <w:vAlign w:val="center"/>
          </w:tcPr>
          <w:p w14:paraId="62B5E569"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110,688</w:t>
            </w:r>
          </w:p>
        </w:tc>
        <w:tc>
          <w:tcPr>
            <w:tcW w:w="1418" w:type="dxa"/>
            <w:vAlign w:val="center"/>
          </w:tcPr>
          <w:p w14:paraId="772EDC5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121,757</w:t>
            </w:r>
          </w:p>
        </w:tc>
        <w:tc>
          <w:tcPr>
            <w:tcW w:w="1417" w:type="dxa"/>
            <w:vAlign w:val="center"/>
          </w:tcPr>
          <w:p w14:paraId="5BC7BE5C"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133,933</w:t>
            </w:r>
          </w:p>
        </w:tc>
        <w:tc>
          <w:tcPr>
            <w:tcW w:w="1418" w:type="dxa"/>
            <w:vAlign w:val="center"/>
          </w:tcPr>
          <w:p w14:paraId="18DEB7A6"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147,327</w:t>
            </w:r>
          </w:p>
        </w:tc>
      </w:tr>
      <w:tr w:rsidR="00C41D0A" w14:paraId="0F511DAC" w14:textId="77777777">
        <w:trPr>
          <w:trHeight w:val="300"/>
        </w:trPr>
        <w:tc>
          <w:tcPr>
            <w:tcW w:w="1276" w:type="dxa"/>
            <w:vAlign w:val="center"/>
          </w:tcPr>
          <w:p w14:paraId="0C6A547D"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010.000.6222.00</w:t>
            </w:r>
          </w:p>
        </w:tc>
        <w:tc>
          <w:tcPr>
            <w:tcW w:w="2977" w:type="dxa"/>
            <w:vAlign w:val="center"/>
          </w:tcPr>
          <w:p w14:paraId="663808D6" w14:textId="77777777" w:rsidR="00C41D0A" w:rsidRDefault="0057227D">
            <w:pPr>
              <w:rPr>
                <w:rFonts w:ascii="Noto Sans" w:eastAsia="Noto Sans" w:hAnsi="Noto Sans" w:cs="Noto Sans"/>
                <w:color w:val="000000"/>
                <w:sz w:val="14"/>
                <w:szCs w:val="14"/>
              </w:rPr>
            </w:pPr>
            <w:r>
              <w:rPr>
                <w:rFonts w:ascii="Noto Sans" w:eastAsia="Noto Sans" w:hAnsi="Noto Sans" w:cs="Noto Sans"/>
                <w:color w:val="000000"/>
                <w:sz w:val="14"/>
                <w:szCs w:val="14"/>
              </w:rPr>
              <w:t>ÁCIDO ACETILSALICÍLICO, TABLETAS CADA TABLETA CONTIENE: ÁCIDO ACETILSALICÍLICO 100 MG CON O SIN RECUBRIMIENTO. ENVASE CON 28 TABLETAS.</w:t>
            </w:r>
          </w:p>
        </w:tc>
        <w:tc>
          <w:tcPr>
            <w:tcW w:w="1276" w:type="dxa"/>
            <w:vAlign w:val="center"/>
          </w:tcPr>
          <w:p w14:paraId="0EB7FA3F" w14:textId="77777777" w:rsidR="00C41D0A" w:rsidRDefault="0057227D">
            <w:pPr>
              <w:jc w:val="right"/>
              <w:rPr>
                <w:rFonts w:ascii="Noto Sans" w:eastAsia="Noto Sans" w:hAnsi="Noto Sans" w:cs="Noto Sans"/>
                <w:color w:val="000000"/>
                <w:sz w:val="14"/>
                <w:szCs w:val="14"/>
                <w:highlight w:val="cyan"/>
              </w:rPr>
            </w:pPr>
            <w:r>
              <w:rPr>
                <w:rFonts w:ascii="Noto Sans" w:eastAsia="Noto Sans" w:hAnsi="Noto Sans" w:cs="Noto Sans"/>
                <w:color w:val="000000"/>
                <w:sz w:val="14"/>
                <w:szCs w:val="14"/>
              </w:rPr>
              <w:t>24,258</w:t>
            </w:r>
          </w:p>
        </w:tc>
        <w:tc>
          <w:tcPr>
            <w:tcW w:w="1275" w:type="dxa"/>
            <w:vAlign w:val="center"/>
          </w:tcPr>
          <w:p w14:paraId="43080A1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48,516</w:t>
            </w:r>
          </w:p>
        </w:tc>
        <w:tc>
          <w:tcPr>
            <w:tcW w:w="1418" w:type="dxa"/>
            <w:vAlign w:val="center"/>
          </w:tcPr>
          <w:p w14:paraId="26771D72"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53,368</w:t>
            </w:r>
          </w:p>
        </w:tc>
        <w:tc>
          <w:tcPr>
            <w:tcW w:w="1417" w:type="dxa"/>
            <w:vAlign w:val="center"/>
          </w:tcPr>
          <w:p w14:paraId="42B16E23"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58,705</w:t>
            </w:r>
          </w:p>
        </w:tc>
        <w:tc>
          <w:tcPr>
            <w:tcW w:w="1418" w:type="dxa"/>
            <w:vAlign w:val="center"/>
          </w:tcPr>
          <w:p w14:paraId="2BDB18BF" w14:textId="77777777" w:rsidR="00C41D0A" w:rsidRDefault="0057227D">
            <w:pPr>
              <w:jc w:val="right"/>
              <w:rPr>
                <w:rFonts w:ascii="Noto Sans" w:eastAsia="Noto Sans" w:hAnsi="Noto Sans" w:cs="Noto Sans"/>
                <w:color w:val="000000"/>
                <w:sz w:val="14"/>
                <w:szCs w:val="14"/>
              </w:rPr>
            </w:pPr>
            <w:r>
              <w:rPr>
                <w:rFonts w:ascii="Noto Sans" w:eastAsia="Noto Sans" w:hAnsi="Noto Sans" w:cs="Noto Sans"/>
                <w:color w:val="000000"/>
                <w:sz w:val="14"/>
                <w:szCs w:val="14"/>
              </w:rPr>
              <w:t>64,576</w:t>
            </w:r>
          </w:p>
        </w:tc>
      </w:tr>
      <w:tr w:rsidR="00C41D0A" w14:paraId="665BA403" w14:textId="77777777">
        <w:trPr>
          <w:trHeight w:val="300"/>
        </w:trPr>
        <w:tc>
          <w:tcPr>
            <w:tcW w:w="4253" w:type="dxa"/>
            <w:gridSpan w:val="2"/>
            <w:vAlign w:val="bottom"/>
          </w:tcPr>
          <w:p w14:paraId="35EC117F" w14:textId="77777777" w:rsidR="00C41D0A" w:rsidRDefault="0057227D">
            <w:pPr>
              <w:rPr>
                <w:rFonts w:ascii="Noto Sans" w:eastAsia="Noto Sans" w:hAnsi="Noto Sans" w:cs="Noto Sans"/>
                <w:b/>
                <w:bCs/>
                <w:color w:val="000000"/>
                <w:sz w:val="14"/>
                <w:szCs w:val="14"/>
              </w:rPr>
            </w:pPr>
            <w:r>
              <w:rPr>
                <w:rFonts w:ascii="Noto Sans" w:eastAsia="Noto Sans" w:hAnsi="Noto Sans" w:cs="Noto Sans"/>
                <w:b/>
                <w:bCs/>
                <w:color w:val="000000"/>
                <w:sz w:val="14"/>
                <w:szCs w:val="14"/>
              </w:rPr>
              <w:t>COSTO TOTAL SERVICIO INTEGRADO SIN IVA</w:t>
            </w:r>
          </w:p>
        </w:tc>
        <w:tc>
          <w:tcPr>
            <w:tcW w:w="1276" w:type="dxa"/>
            <w:vAlign w:val="bottom"/>
          </w:tcPr>
          <w:p w14:paraId="3C680FF3"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$449,909,241.48</w:t>
            </w:r>
          </w:p>
        </w:tc>
        <w:tc>
          <w:tcPr>
            <w:tcW w:w="1275" w:type="dxa"/>
            <w:vAlign w:val="bottom"/>
          </w:tcPr>
          <w:p w14:paraId="7F38BCCF"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$899,818,482.96</w:t>
            </w:r>
          </w:p>
        </w:tc>
        <w:tc>
          <w:tcPr>
            <w:tcW w:w="1418" w:type="dxa"/>
            <w:vAlign w:val="bottom"/>
          </w:tcPr>
          <w:p w14:paraId="3EB041BE"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$1,039,290,894.75</w:t>
            </w:r>
          </w:p>
        </w:tc>
        <w:tc>
          <w:tcPr>
            <w:tcW w:w="1417" w:type="dxa"/>
            <w:vAlign w:val="bottom"/>
          </w:tcPr>
          <w:p w14:paraId="0AD6E946"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$1,143,220,487.66</w:t>
            </w:r>
          </w:p>
        </w:tc>
        <w:tc>
          <w:tcPr>
            <w:tcW w:w="1418" w:type="dxa"/>
            <w:vAlign w:val="bottom"/>
          </w:tcPr>
          <w:p w14:paraId="71BFCE56" w14:textId="77777777" w:rsidR="00C41D0A" w:rsidRDefault="0057227D">
            <w:pPr>
              <w:jc w:val="right"/>
              <w:rPr>
                <w:rFonts w:ascii="Noto Sans" w:eastAsia="Noto Sans" w:hAnsi="Noto Sans" w:cs="Noto Sans"/>
                <w:b/>
                <w:bCs/>
                <w:color w:val="000000"/>
                <w:sz w:val="14"/>
                <w:szCs w:val="14"/>
              </w:rPr>
            </w:pPr>
            <w:r>
              <w:rPr>
                <w:rFonts w:ascii="Noto Sans" w:eastAsia="Noto Sans" w:hAnsi="Noto Sans" w:cs="Noto Sans"/>
                <w:b/>
                <w:bCs/>
                <w:color w:val="000000"/>
                <w:sz w:val="14"/>
                <w:szCs w:val="14"/>
              </w:rPr>
              <w:t>$1,320,420,353.08</w:t>
            </w:r>
          </w:p>
        </w:tc>
      </w:tr>
    </w:tbl>
    <w:p w14:paraId="64B00125" w14:textId="77777777" w:rsidR="00C41D0A" w:rsidRDefault="00C41D0A">
      <w:pPr>
        <w:spacing w:after="160" w:line="278" w:lineRule="auto"/>
        <w:rPr>
          <w:rFonts w:ascii="Noto Sans" w:eastAsia="Noto Sans" w:hAnsi="Noto Sans" w:cs="Noto Sans"/>
          <w:sz w:val="22"/>
          <w:szCs w:val="22"/>
        </w:rPr>
      </w:pPr>
    </w:p>
    <w:p w14:paraId="4F28E486" w14:textId="77777777" w:rsidR="00C41D0A" w:rsidRDefault="0057227D">
      <w:pPr>
        <w:spacing w:after="160" w:line="278" w:lineRule="auto"/>
        <w:rPr>
          <w:rFonts w:ascii="Noto Sans" w:eastAsia="Noto Sans" w:hAnsi="Noto Sans" w:cs="Noto Sans"/>
          <w:sz w:val="22"/>
          <w:szCs w:val="22"/>
        </w:rPr>
      </w:pPr>
      <w:r>
        <w:br w:type="page"/>
      </w:r>
    </w:p>
    <w:p w14:paraId="6ED3BAB9" w14:textId="77777777" w:rsidR="00C41D0A" w:rsidRDefault="0057227D">
      <w:pPr>
        <w:pBdr>
          <w:top w:val="nil"/>
          <w:left w:val="nil"/>
          <w:bottom w:val="nil"/>
          <w:right w:val="nil"/>
          <w:between w:val="nil"/>
        </w:pBdr>
        <w:jc w:val="both"/>
        <w:rPr>
          <w:rFonts w:ascii="Noto Sans" w:eastAsia="Noto Sans" w:hAnsi="Noto Sans" w:cs="Noto Sans"/>
          <w:color w:val="000000"/>
        </w:rPr>
      </w:pPr>
      <w:r>
        <w:rPr>
          <w:rFonts w:ascii="Noto Sans" w:eastAsia="Noto Sans" w:hAnsi="Noto Sans" w:cs="Noto Sans"/>
          <w:color w:val="000000"/>
        </w:rPr>
        <w:lastRenderedPageBreak/>
        <w:t xml:space="preserve">Leído que fue el presente </w:t>
      </w:r>
      <w:r>
        <w:rPr>
          <w:rFonts w:ascii="Noto Sans" w:eastAsia="Noto Sans" w:hAnsi="Noto Sans" w:cs="Noto Sans"/>
          <w:b/>
          <w:bCs/>
        </w:rPr>
        <w:t>ANEXO 3</w:t>
      </w:r>
      <w:r>
        <w:rPr>
          <w:rFonts w:ascii="Noto Sans" w:eastAsia="Noto Sans" w:hAnsi="Noto Sans" w:cs="Noto Sans"/>
        </w:rPr>
        <w:t xml:space="preserve">: </w:t>
      </w:r>
      <w:r>
        <w:rPr>
          <w:rFonts w:ascii="Noto Sans" w:eastAsia="Noto Sans" w:hAnsi="Noto Sans" w:cs="Noto Sans"/>
          <w:b/>
          <w:bCs/>
        </w:rPr>
        <w:t xml:space="preserve">Condiciones de la contraprestación del Servicio Integrado </w:t>
      </w:r>
      <w:r>
        <w:rPr>
          <w:rFonts w:ascii="Noto Sans" w:eastAsia="Noto Sans" w:hAnsi="Noto Sans" w:cs="Noto Sans"/>
          <w:color w:val="000000"/>
        </w:rPr>
        <w:t xml:space="preserve">como parte integrante del Convenio de Colaboración y enteradas </w:t>
      </w:r>
      <w:r>
        <w:rPr>
          <w:rFonts w:ascii="Noto Sans" w:eastAsia="Noto Sans" w:hAnsi="Noto Sans" w:cs="Noto Sans"/>
          <w:b/>
          <w:bCs/>
          <w:color w:val="000000"/>
        </w:rPr>
        <w:t>“LAS PARTES”</w:t>
      </w:r>
      <w:r>
        <w:rPr>
          <w:rFonts w:ascii="Noto Sans" w:eastAsia="Noto Sans" w:hAnsi="Noto Sans" w:cs="Noto Sans"/>
          <w:color w:val="000000"/>
        </w:rPr>
        <w:t xml:space="preserve"> de su contenido, lo firman las personas Enlaces en </w:t>
      </w:r>
      <w:r>
        <w:rPr>
          <w:rFonts w:ascii="Noto Sans" w:eastAsia="Noto Sans" w:hAnsi="Noto Sans" w:cs="Noto Sans"/>
        </w:rPr>
        <w:t xml:space="preserve">ocho </w:t>
      </w:r>
      <w:r>
        <w:rPr>
          <w:rFonts w:ascii="Noto Sans" w:eastAsia="Noto Sans" w:hAnsi="Noto Sans" w:cs="Noto Sans"/>
          <w:color w:val="000000"/>
        </w:rPr>
        <w:t xml:space="preserve">ejemplares para constancia, en la Ciudad de México, el día </w:t>
      </w:r>
      <w:r>
        <w:rPr>
          <w:rFonts w:ascii="Noto Sans" w:eastAsia="Noto Sans" w:hAnsi="Noto Sans" w:cs="Noto Sans"/>
        </w:rPr>
        <w:t>17 de agosto</w:t>
      </w:r>
      <w:r>
        <w:rPr>
          <w:rFonts w:ascii="Noto Sans" w:eastAsia="Noto Sans" w:hAnsi="Noto Sans" w:cs="Noto Sans"/>
          <w:color w:val="000000"/>
        </w:rPr>
        <w:t xml:space="preserve"> del año 2026.</w:t>
      </w:r>
    </w:p>
    <w:p w14:paraId="4BAF4770" w14:textId="77777777" w:rsidR="00C41D0A" w:rsidRDefault="00C41D0A">
      <w:pPr>
        <w:pBdr>
          <w:top w:val="nil"/>
          <w:left w:val="nil"/>
          <w:bottom w:val="nil"/>
          <w:right w:val="nil"/>
          <w:between w:val="nil"/>
        </w:pBdr>
        <w:jc w:val="both"/>
        <w:rPr>
          <w:rFonts w:ascii="Noto Sans" w:eastAsia="Noto Sans" w:hAnsi="Noto Sans" w:cs="Noto Sans"/>
          <w:color w:val="000000"/>
        </w:rPr>
      </w:pPr>
    </w:p>
    <w:p w14:paraId="1E5473D3" w14:textId="77777777" w:rsidR="00C41D0A" w:rsidRDefault="00C41D0A">
      <w:pPr>
        <w:pBdr>
          <w:top w:val="nil"/>
          <w:left w:val="nil"/>
          <w:bottom w:val="nil"/>
          <w:right w:val="nil"/>
          <w:between w:val="nil"/>
        </w:pBdr>
        <w:jc w:val="both"/>
        <w:rPr>
          <w:rFonts w:ascii="Noto Sans" w:eastAsia="Noto Sans" w:hAnsi="Noto Sans" w:cs="Noto Sans"/>
          <w:color w:val="000000"/>
        </w:rPr>
      </w:pPr>
    </w:p>
    <w:p w14:paraId="28EC1ADA" w14:textId="77777777" w:rsidR="00C41D0A" w:rsidRDefault="00C41D0A">
      <w:pPr>
        <w:pBdr>
          <w:top w:val="nil"/>
          <w:left w:val="nil"/>
          <w:bottom w:val="nil"/>
          <w:right w:val="nil"/>
          <w:between w:val="nil"/>
        </w:pBdr>
        <w:jc w:val="both"/>
        <w:rPr>
          <w:rFonts w:ascii="Noto Sans" w:eastAsia="Noto Sans" w:hAnsi="Noto Sans" w:cs="Noto Sans"/>
          <w:color w:val="000000"/>
        </w:rPr>
      </w:pPr>
    </w:p>
    <w:tbl>
      <w:tblPr>
        <w:tblStyle w:val="a4"/>
        <w:tblW w:w="9622"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4390"/>
        <w:gridCol w:w="992"/>
        <w:gridCol w:w="4240"/>
      </w:tblGrid>
      <w:tr w:rsidR="00C41D0A" w14:paraId="6C447320" w14:textId="77777777" w:rsidTr="00523EF7">
        <w:tc>
          <w:tcPr>
            <w:tcW w:w="4390" w:type="dxa"/>
          </w:tcPr>
          <w:p w14:paraId="04CEF5B1"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“SALUD”</w:t>
            </w:r>
          </w:p>
        </w:tc>
        <w:tc>
          <w:tcPr>
            <w:tcW w:w="992" w:type="dxa"/>
          </w:tcPr>
          <w:p w14:paraId="12B42846" w14:textId="77777777" w:rsidR="00C41D0A" w:rsidRDefault="00C41D0A">
            <w:pPr>
              <w:jc w:val="center"/>
              <w:rPr>
                <w:rFonts w:ascii="Noto Sans" w:eastAsia="Noto Sans" w:hAnsi="Noto Sans" w:cs="Noto Sans"/>
                <w:color w:val="000000"/>
              </w:rPr>
            </w:pPr>
          </w:p>
        </w:tc>
        <w:tc>
          <w:tcPr>
            <w:tcW w:w="4240" w:type="dxa"/>
          </w:tcPr>
          <w:p w14:paraId="2479B5E9"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“BIENESTAR”</w:t>
            </w:r>
          </w:p>
        </w:tc>
      </w:tr>
      <w:tr w:rsidR="00C41D0A" w14:paraId="7CD848F7" w14:textId="77777777" w:rsidTr="00523EF7">
        <w:tc>
          <w:tcPr>
            <w:tcW w:w="4390" w:type="dxa"/>
          </w:tcPr>
          <w:p w14:paraId="19017768" w14:textId="77777777" w:rsidR="00C41D0A" w:rsidRDefault="00C41D0A">
            <w:pPr>
              <w:jc w:val="center"/>
              <w:rPr>
                <w:rFonts w:ascii="Noto Sans" w:eastAsia="Noto Sans" w:hAnsi="Noto Sans" w:cs="Noto Sans"/>
                <w:b/>
                <w:bCs/>
                <w:color w:val="000000"/>
              </w:rPr>
            </w:pPr>
          </w:p>
          <w:p w14:paraId="684E9018" w14:textId="77777777" w:rsidR="00C41D0A" w:rsidRDefault="00C41D0A">
            <w:pPr>
              <w:jc w:val="center"/>
              <w:rPr>
                <w:rFonts w:ascii="Noto Sans" w:eastAsia="Noto Sans" w:hAnsi="Noto Sans" w:cs="Noto Sans"/>
                <w:b/>
                <w:bCs/>
                <w:color w:val="000000"/>
              </w:rPr>
            </w:pPr>
          </w:p>
          <w:p w14:paraId="28FAD537" w14:textId="77777777" w:rsidR="00C41D0A" w:rsidRDefault="00C41D0A">
            <w:pPr>
              <w:jc w:val="center"/>
              <w:rPr>
                <w:rFonts w:ascii="Noto Sans" w:eastAsia="Noto Sans" w:hAnsi="Noto Sans" w:cs="Noto Sans"/>
                <w:b/>
                <w:bCs/>
                <w:color w:val="000000"/>
              </w:rPr>
            </w:pPr>
          </w:p>
          <w:p w14:paraId="39D2796B" w14:textId="77777777" w:rsidR="00C41D0A" w:rsidRDefault="00C41D0A">
            <w:pPr>
              <w:jc w:val="center"/>
              <w:rPr>
                <w:rFonts w:ascii="Noto Sans" w:eastAsia="Noto Sans" w:hAnsi="Noto Sans" w:cs="Noto Sans"/>
                <w:b/>
                <w:bCs/>
                <w:color w:val="000000"/>
              </w:rPr>
            </w:pPr>
          </w:p>
          <w:p w14:paraId="5A88E0ED" w14:textId="77777777" w:rsidR="00C41D0A" w:rsidRDefault="00C41D0A">
            <w:pPr>
              <w:jc w:val="center"/>
              <w:rPr>
                <w:rFonts w:ascii="Noto Sans" w:eastAsia="Noto Sans" w:hAnsi="Noto Sans" w:cs="Noto Sans"/>
                <w:b/>
                <w:bCs/>
                <w:color w:val="000000"/>
              </w:rPr>
            </w:pPr>
          </w:p>
          <w:p w14:paraId="5029C2E2" w14:textId="77777777" w:rsidR="00C41D0A" w:rsidRDefault="00C41D0A">
            <w:pPr>
              <w:jc w:val="center"/>
              <w:rPr>
                <w:rFonts w:ascii="Noto Sans" w:eastAsia="Noto Sans" w:hAnsi="Noto Sans" w:cs="Noto Sans"/>
                <w:b/>
                <w:bCs/>
                <w:color w:val="000000"/>
              </w:rPr>
            </w:pPr>
          </w:p>
          <w:p w14:paraId="6D262952"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DR.</w:t>
            </w:r>
            <w:r>
              <w:rPr>
                <w:rFonts w:ascii="Noto Sans" w:eastAsia="Noto Sans" w:hAnsi="Noto Sans" w:cs="Noto Sans"/>
                <w:color w:val="000000"/>
              </w:rPr>
              <w:t xml:space="preserve"> </w:t>
            </w:r>
            <w:r>
              <w:rPr>
                <w:rFonts w:ascii="Noto Sans" w:eastAsia="Noto Sans" w:hAnsi="Noto Sans" w:cs="Noto Sans"/>
                <w:b/>
                <w:bCs/>
                <w:color w:val="000000"/>
              </w:rPr>
              <w:t>RAÚL PEÑA VIVEROS</w:t>
            </w:r>
          </w:p>
          <w:p w14:paraId="6C0C2B18"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DIRECTOR GENERAL DE PLANEACIÓN Y DESARROLLO DEL SECTOR SALUD</w:t>
            </w:r>
          </w:p>
        </w:tc>
        <w:tc>
          <w:tcPr>
            <w:tcW w:w="992" w:type="dxa"/>
          </w:tcPr>
          <w:p w14:paraId="29DE1EBF" w14:textId="77777777" w:rsidR="00C41D0A" w:rsidRDefault="00C41D0A">
            <w:pPr>
              <w:jc w:val="center"/>
              <w:rPr>
                <w:rFonts w:ascii="Noto Sans" w:eastAsia="Noto Sans" w:hAnsi="Noto Sans" w:cs="Noto Sans"/>
                <w:color w:val="000000"/>
              </w:rPr>
            </w:pPr>
          </w:p>
        </w:tc>
        <w:tc>
          <w:tcPr>
            <w:tcW w:w="4240" w:type="dxa"/>
          </w:tcPr>
          <w:p w14:paraId="494E55EF" w14:textId="77777777" w:rsidR="00C41D0A" w:rsidRDefault="00C41D0A">
            <w:pPr>
              <w:jc w:val="center"/>
              <w:rPr>
                <w:rFonts w:ascii="Noto Sans" w:eastAsia="Noto Sans" w:hAnsi="Noto Sans" w:cs="Noto Sans"/>
                <w:b/>
                <w:bCs/>
                <w:color w:val="000000"/>
              </w:rPr>
            </w:pPr>
          </w:p>
          <w:p w14:paraId="5D4395C7" w14:textId="77777777" w:rsidR="00C41D0A" w:rsidRDefault="00C41D0A">
            <w:pPr>
              <w:jc w:val="center"/>
              <w:rPr>
                <w:rFonts w:ascii="Noto Sans" w:eastAsia="Noto Sans" w:hAnsi="Noto Sans" w:cs="Noto Sans"/>
                <w:b/>
                <w:bCs/>
                <w:color w:val="000000"/>
              </w:rPr>
            </w:pPr>
          </w:p>
          <w:p w14:paraId="04D5D8F9" w14:textId="77777777" w:rsidR="00C41D0A" w:rsidRDefault="00C41D0A">
            <w:pPr>
              <w:jc w:val="center"/>
              <w:rPr>
                <w:rFonts w:ascii="Noto Sans" w:eastAsia="Noto Sans" w:hAnsi="Noto Sans" w:cs="Noto Sans"/>
                <w:b/>
                <w:bCs/>
                <w:color w:val="000000"/>
              </w:rPr>
            </w:pPr>
          </w:p>
          <w:p w14:paraId="1AF18E98" w14:textId="77777777" w:rsidR="00C41D0A" w:rsidRDefault="00C41D0A">
            <w:pPr>
              <w:jc w:val="center"/>
              <w:rPr>
                <w:rFonts w:ascii="Noto Sans" w:eastAsia="Noto Sans" w:hAnsi="Noto Sans" w:cs="Noto Sans"/>
                <w:b/>
                <w:bCs/>
                <w:color w:val="000000"/>
              </w:rPr>
            </w:pPr>
          </w:p>
          <w:p w14:paraId="3FF8114B" w14:textId="77777777" w:rsidR="00C41D0A" w:rsidRDefault="00C41D0A">
            <w:pPr>
              <w:jc w:val="center"/>
              <w:rPr>
                <w:rFonts w:ascii="Noto Sans" w:eastAsia="Noto Sans" w:hAnsi="Noto Sans" w:cs="Noto Sans"/>
                <w:b/>
                <w:bCs/>
                <w:color w:val="000000"/>
              </w:rPr>
            </w:pPr>
          </w:p>
          <w:p w14:paraId="2ABC4D4E" w14:textId="77777777" w:rsidR="00C41D0A" w:rsidRDefault="00C41D0A">
            <w:pPr>
              <w:jc w:val="center"/>
              <w:rPr>
                <w:rFonts w:ascii="Noto Sans" w:eastAsia="Noto Sans" w:hAnsi="Noto Sans" w:cs="Noto Sans"/>
                <w:b/>
                <w:bCs/>
                <w:color w:val="000000"/>
              </w:rPr>
            </w:pPr>
          </w:p>
          <w:p w14:paraId="14EE61C3"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LIC. JESÚS SALVADOR VALENCIA GUZMÁN</w:t>
            </w:r>
          </w:p>
          <w:p w14:paraId="182920B4"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SUBSECRETARÍA DE BIENESTAR</w:t>
            </w:r>
          </w:p>
        </w:tc>
      </w:tr>
      <w:tr w:rsidR="00C41D0A" w14:paraId="5A15B12A" w14:textId="77777777" w:rsidTr="00523EF7">
        <w:tc>
          <w:tcPr>
            <w:tcW w:w="4390" w:type="dxa"/>
          </w:tcPr>
          <w:p w14:paraId="1074390C" w14:textId="77777777" w:rsidR="00C41D0A" w:rsidRDefault="00C41D0A">
            <w:pPr>
              <w:jc w:val="center"/>
              <w:rPr>
                <w:rFonts w:ascii="Noto Sans" w:eastAsia="Noto Sans" w:hAnsi="Noto Sans" w:cs="Noto Sans"/>
                <w:color w:val="000000"/>
              </w:rPr>
            </w:pPr>
          </w:p>
          <w:p w14:paraId="55BD4B03" w14:textId="77777777" w:rsidR="00C41D0A" w:rsidRDefault="00C41D0A">
            <w:pPr>
              <w:jc w:val="center"/>
              <w:rPr>
                <w:rFonts w:ascii="Noto Sans" w:eastAsia="Noto Sans" w:hAnsi="Noto Sans" w:cs="Noto Sans"/>
                <w:color w:val="000000"/>
              </w:rPr>
            </w:pPr>
          </w:p>
          <w:p w14:paraId="59F3A122" w14:textId="77777777" w:rsidR="00C41D0A" w:rsidRDefault="00C41D0A">
            <w:pPr>
              <w:jc w:val="center"/>
              <w:rPr>
                <w:rFonts w:ascii="Noto Sans" w:eastAsia="Noto Sans" w:hAnsi="Noto Sans" w:cs="Noto Sans"/>
                <w:color w:val="000000"/>
              </w:rPr>
            </w:pPr>
          </w:p>
          <w:p w14:paraId="72797688" w14:textId="77777777" w:rsidR="00C41D0A" w:rsidRDefault="00C41D0A">
            <w:pPr>
              <w:jc w:val="center"/>
              <w:rPr>
                <w:rFonts w:ascii="Noto Sans" w:eastAsia="Noto Sans" w:hAnsi="Noto Sans" w:cs="Noto Sans"/>
                <w:color w:val="000000"/>
              </w:rPr>
            </w:pPr>
          </w:p>
          <w:p w14:paraId="38C52FCD"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“IMSS”</w:t>
            </w:r>
          </w:p>
        </w:tc>
        <w:tc>
          <w:tcPr>
            <w:tcW w:w="992" w:type="dxa"/>
          </w:tcPr>
          <w:p w14:paraId="7FC790A1" w14:textId="77777777" w:rsidR="00C41D0A" w:rsidRDefault="00C41D0A">
            <w:pPr>
              <w:jc w:val="center"/>
              <w:rPr>
                <w:rFonts w:ascii="Noto Sans" w:eastAsia="Noto Sans" w:hAnsi="Noto Sans" w:cs="Noto Sans"/>
                <w:color w:val="000000"/>
              </w:rPr>
            </w:pPr>
          </w:p>
        </w:tc>
        <w:tc>
          <w:tcPr>
            <w:tcW w:w="4240" w:type="dxa"/>
          </w:tcPr>
          <w:p w14:paraId="2604636E" w14:textId="77777777" w:rsidR="00C41D0A" w:rsidRDefault="00C41D0A">
            <w:pPr>
              <w:jc w:val="center"/>
              <w:rPr>
                <w:rFonts w:ascii="Noto Sans" w:eastAsia="Noto Sans" w:hAnsi="Noto Sans" w:cs="Noto Sans"/>
                <w:color w:val="000000"/>
              </w:rPr>
            </w:pPr>
          </w:p>
          <w:p w14:paraId="11673F04" w14:textId="77777777" w:rsidR="00C41D0A" w:rsidRDefault="00C41D0A">
            <w:pPr>
              <w:jc w:val="center"/>
              <w:rPr>
                <w:rFonts w:ascii="Noto Sans" w:eastAsia="Noto Sans" w:hAnsi="Noto Sans" w:cs="Noto Sans"/>
                <w:color w:val="000000"/>
              </w:rPr>
            </w:pPr>
          </w:p>
          <w:p w14:paraId="40E93DF1" w14:textId="77777777" w:rsidR="00C41D0A" w:rsidRDefault="00C41D0A">
            <w:pPr>
              <w:jc w:val="center"/>
              <w:rPr>
                <w:rFonts w:ascii="Noto Sans" w:eastAsia="Noto Sans" w:hAnsi="Noto Sans" w:cs="Noto Sans"/>
                <w:color w:val="000000"/>
              </w:rPr>
            </w:pPr>
          </w:p>
          <w:p w14:paraId="4EFA16F3" w14:textId="77777777" w:rsidR="00C41D0A" w:rsidRDefault="00C41D0A">
            <w:pPr>
              <w:jc w:val="center"/>
              <w:rPr>
                <w:rFonts w:ascii="Noto Sans" w:eastAsia="Noto Sans" w:hAnsi="Noto Sans" w:cs="Noto Sans"/>
                <w:color w:val="000000"/>
              </w:rPr>
            </w:pPr>
          </w:p>
          <w:p w14:paraId="6B4F3E4B"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“IMSS-BIENESTAR</w:t>
            </w:r>
            <w:r>
              <w:rPr>
                <w:rFonts w:ascii="Noto Sans" w:eastAsia="Noto Sans" w:hAnsi="Noto Sans" w:cs="Noto Sans"/>
                <w:color w:val="000000"/>
              </w:rPr>
              <w:t>”</w:t>
            </w:r>
          </w:p>
        </w:tc>
      </w:tr>
      <w:tr w:rsidR="00C41D0A" w14:paraId="07985079" w14:textId="77777777" w:rsidTr="00523EF7">
        <w:tc>
          <w:tcPr>
            <w:tcW w:w="4390" w:type="dxa"/>
          </w:tcPr>
          <w:p w14:paraId="0D3A8415" w14:textId="77777777" w:rsidR="00C41D0A" w:rsidRDefault="00C41D0A">
            <w:pPr>
              <w:jc w:val="center"/>
              <w:rPr>
                <w:rFonts w:ascii="Noto Sans" w:eastAsia="Noto Sans" w:hAnsi="Noto Sans" w:cs="Noto Sans"/>
                <w:b/>
                <w:bCs/>
                <w:color w:val="000000"/>
              </w:rPr>
            </w:pPr>
          </w:p>
          <w:p w14:paraId="18E9DBB8" w14:textId="77777777" w:rsidR="00C41D0A" w:rsidRDefault="00C41D0A">
            <w:pPr>
              <w:jc w:val="center"/>
              <w:rPr>
                <w:rFonts w:ascii="Noto Sans" w:eastAsia="Noto Sans" w:hAnsi="Noto Sans" w:cs="Noto Sans"/>
                <w:b/>
                <w:bCs/>
                <w:color w:val="000000"/>
              </w:rPr>
            </w:pPr>
          </w:p>
          <w:p w14:paraId="5E9EDD43" w14:textId="77777777" w:rsidR="00C41D0A" w:rsidRDefault="00C41D0A">
            <w:pPr>
              <w:jc w:val="center"/>
              <w:rPr>
                <w:rFonts w:ascii="Noto Sans" w:eastAsia="Noto Sans" w:hAnsi="Noto Sans" w:cs="Noto Sans"/>
                <w:b/>
                <w:bCs/>
                <w:color w:val="000000"/>
              </w:rPr>
            </w:pPr>
          </w:p>
          <w:p w14:paraId="0F9B2EC1" w14:textId="77777777" w:rsidR="00C41D0A" w:rsidRDefault="00C41D0A">
            <w:pPr>
              <w:jc w:val="center"/>
              <w:rPr>
                <w:rFonts w:ascii="Noto Sans" w:eastAsia="Noto Sans" w:hAnsi="Noto Sans" w:cs="Noto Sans"/>
                <w:b/>
                <w:bCs/>
                <w:color w:val="000000"/>
              </w:rPr>
            </w:pPr>
          </w:p>
          <w:p w14:paraId="4F5D6CAB" w14:textId="77777777" w:rsidR="00C41D0A" w:rsidRDefault="00C41D0A">
            <w:pPr>
              <w:jc w:val="center"/>
              <w:rPr>
                <w:rFonts w:ascii="Noto Sans" w:eastAsia="Noto Sans" w:hAnsi="Noto Sans" w:cs="Noto Sans"/>
                <w:b/>
                <w:bCs/>
                <w:color w:val="000000"/>
              </w:rPr>
            </w:pPr>
          </w:p>
          <w:p w14:paraId="4E1EABB2" w14:textId="77777777" w:rsidR="00C41D0A" w:rsidRDefault="00C41D0A">
            <w:pPr>
              <w:jc w:val="center"/>
              <w:rPr>
                <w:rFonts w:ascii="Noto Sans" w:eastAsia="Noto Sans" w:hAnsi="Noto Sans" w:cs="Noto Sans"/>
                <w:b/>
                <w:bCs/>
                <w:color w:val="000000"/>
              </w:rPr>
            </w:pPr>
          </w:p>
          <w:p w14:paraId="09ADA1C3"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LIC. JUAN CARLOS CARDONA ALDAVE</w:t>
            </w:r>
          </w:p>
          <w:p w14:paraId="65235E00"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UNIDAD DE ADMINISTRACIÓN</w:t>
            </w:r>
          </w:p>
          <w:p w14:paraId="18DA0DA1" w14:textId="77777777" w:rsidR="00C41D0A" w:rsidRDefault="00C41D0A">
            <w:pPr>
              <w:jc w:val="center"/>
              <w:rPr>
                <w:rFonts w:ascii="Noto Sans" w:eastAsia="Noto Sans" w:hAnsi="Noto Sans" w:cs="Noto Sans"/>
                <w:color w:val="000000"/>
              </w:rPr>
            </w:pPr>
          </w:p>
        </w:tc>
        <w:tc>
          <w:tcPr>
            <w:tcW w:w="992" w:type="dxa"/>
          </w:tcPr>
          <w:p w14:paraId="004994FC" w14:textId="77777777" w:rsidR="00C41D0A" w:rsidRDefault="00C41D0A">
            <w:pPr>
              <w:jc w:val="center"/>
              <w:rPr>
                <w:rFonts w:ascii="Noto Sans" w:eastAsia="Noto Sans" w:hAnsi="Noto Sans" w:cs="Noto Sans"/>
                <w:color w:val="000000"/>
              </w:rPr>
            </w:pPr>
          </w:p>
        </w:tc>
        <w:tc>
          <w:tcPr>
            <w:tcW w:w="4240" w:type="dxa"/>
          </w:tcPr>
          <w:p w14:paraId="21E54391" w14:textId="77777777" w:rsidR="00C41D0A" w:rsidRDefault="00C41D0A">
            <w:pPr>
              <w:jc w:val="center"/>
              <w:rPr>
                <w:rFonts w:ascii="Noto Sans" w:eastAsia="Noto Sans" w:hAnsi="Noto Sans" w:cs="Noto Sans"/>
                <w:color w:val="000000"/>
              </w:rPr>
            </w:pPr>
          </w:p>
          <w:p w14:paraId="735DD81B" w14:textId="77777777" w:rsidR="00C41D0A" w:rsidRDefault="00C41D0A">
            <w:pPr>
              <w:jc w:val="center"/>
              <w:rPr>
                <w:rFonts w:ascii="Noto Sans" w:eastAsia="Noto Sans" w:hAnsi="Noto Sans" w:cs="Noto Sans"/>
                <w:color w:val="000000"/>
              </w:rPr>
            </w:pPr>
          </w:p>
          <w:p w14:paraId="72388881" w14:textId="77777777" w:rsidR="00C41D0A" w:rsidRDefault="00C41D0A">
            <w:pPr>
              <w:jc w:val="center"/>
              <w:rPr>
                <w:rFonts w:ascii="Noto Sans" w:eastAsia="Noto Sans" w:hAnsi="Noto Sans" w:cs="Noto Sans"/>
                <w:color w:val="000000"/>
              </w:rPr>
            </w:pPr>
          </w:p>
          <w:p w14:paraId="7DD9B113" w14:textId="77777777" w:rsidR="00C41D0A" w:rsidRDefault="00C41D0A">
            <w:pPr>
              <w:jc w:val="center"/>
              <w:rPr>
                <w:rFonts w:ascii="Noto Sans" w:eastAsia="Noto Sans" w:hAnsi="Noto Sans" w:cs="Noto Sans"/>
                <w:color w:val="000000"/>
              </w:rPr>
            </w:pPr>
          </w:p>
          <w:p w14:paraId="236B1B9E" w14:textId="77777777" w:rsidR="00C41D0A" w:rsidRDefault="00C41D0A">
            <w:pPr>
              <w:jc w:val="center"/>
              <w:rPr>
                <w:rFonts w:ascii="Noto Sans" w:eastAsia="Noto Sans" w:hAnsi="Noto Sans" w:cs="Noto Sans"/>
                <w:color w:val="000000"/>
              </w:rPr>
            </w:pPr>
          </w:p>
          <w:p w14:paraId="5F0F3DA9" w14:textId="77777777" w:rsidR="00C41D0A" w:rsidRDefault="00C41D0A">
            <w:pPr>
              <w:jc w:val="center"/>
              <w:rPr>
                <w:rFonts w:ascii="Noto Sans" w:eastAsia="Noto Sans" w:hAnsi="Noto Sans" w:cs="Noto Sans"/>
                <w:color w:val="000000"/>
              </w:rPr>
            </w:pPr>
          </w:p>
          <w:p w14:paraId="66BD5E40" w14:textId="77777777" w:rsidR="00C41D0A" w:rsidRDefault="0057227D">
            <w:pPr>
              <w:jc w:val="center"/>
              <w:rPr>
                <w:rFonts w:ascii="Noto Sans" w:eastAsia="Noto Sans" w:hAnsi="Noto Sans" w:cs="Noto Sans"/>
                <w:color w:val="000000"/>
              </w:rPr>
            </w:pPr>
            <w:r>
              <w:rPr>
                <w:rFonts w:ascii="Noto Sans" w:eastAsia="Noto Sans" w:hAnsi="Noto Sans" w:cs="Noto Sans"/>
                <w:b/>
                <w:bCs/>
                <w:color w:val="000000"/>
              </w:rPr>
              <w:t>LIC. EDGAR CÉSAR SEPÚLVEDA VILLANUEVA</w:t>
            </w:r>
            <w:r>
              <w:rPr>
                <w:rFonts w:ascii="Noto Sans" w:eastAsia="Noto Sans" w:hAnsi="Noto Sans" w:cs="Noto Sans"/>
                <w:color w:val="000000"/>
              </w:rPr>
              <w:t xml:space="preserve"> </w:t>
            </w:r>
          </w:p>
          <w:p w14:paraId="09D59FA2"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 TITULAR DE LA COORDINACIÓN DE RECURSOS MATERIALES</w:t>
            </w:r>
          </w:p>
          <w:p w14:paraId="6359D048" w14:textId="77777777" w:rsidR="00C41D0A" w:rsidRDefault="00C41D0A">
            <w:pPr>
              <w:jc w:val="center"/>
              <w:rPr>
                <w:rFonts w:ascii="Noto Sans" w:eastAsia="Noto Sans" w:hAnsi="Noto Sans" w:cs="Noto Sans"/>
                <w:color w:val="000000"/>
              </w:rPr>
            </w:pPr>
          </w:p>
        </w:tc>
      </w:tr>
      <w:tr w:rsidR="00C41D0A" w14:paraId="0183D70C" w14:textId="77777777" w:rsidTr="00523EF7">
        <w:tc>
          <w:tcPr>
            <w:tcW w:w="4390" w:type="dxa"/>
          </w:tcPr>
          <w:p w14:paraId="7953DE29" w14:textId="77777777" w:rsidR="00C41D0A" w:rsidRDefault="00C41D0A">
            <w:pPr>
              <w:jc w:val="center"/>
              <w:rPr>
                <w:rFonts w:ascii="Noto Sans" w:eastAsia="Noto Sans" w:hAnsi="Noto Sans" w:cs="Noto Sans"/>
                <w:b/>
                <w:bCs/>
                <w:color w:val="000000"/>
              </w:rPr>
            </w:pPr>
          </w:p>
          <w:p w14:paraId="217ED18B" w14:textId="77777777" w:rsidR="00C41D0A" w:rsidRDefault="00C41D0A">
            <w:pPr>
              <w:jc w:val="center"/>
              <w:rPr>
                <w:rFonts w:ascii="Noto Sans" w:eastAsia="Noto Sans" w:hAnsi="Noto Sans" w:cs="Noto Sans"/>
                <w:b/>
                <w:bCs/>
                <w:color w:val="000000"/>
              </w:rPr>
            </w:pPr>
          </w:p>
        </w:tc>
        <w:tc>
          <w:tcPr>
            <w:tcW w:w="992" w:type="dxa"/>
          </w:tcPr>
          <w:p w14:paraId="193984B6" w14:textId="77777777" w:rsidR="00C41D0A" w:rsidRDefault="00C41D0A">
            <w:pPr>
              <w:jc w:val="center"/>
              <w:rPr>
                <w:rFonts w:ascii="Noto Sans" w:eastAsia="Noto Sans" w:hAnsi="Noto Sans" w:cs="Noto Sans"/>
                <w:color w:val="000000"/>
              </w:rPr>
            </w:pPr>
          </w:p>
        </w:tc>
        <w:tc>
          <w:tcPr>
            <w:tcW w:w="4240" w:type="dxa"/>
          </w:tcPr>
          <w:p w14:paraId="4EA4EAF8" w14:textId="77777777" w:rsidR="00C41D0A" w:rsidRDefault="00C41D0A">
            <w:pPr>
              <w:jc w:val="center"/>
              <w:rPr>
                <w:rFonts w:ascii="Noto Sans" w:eastAsia="Noto Sans" w:hAnsi="Noto Sans" w:cs="Noto Sans"/>
                <w:color w:val="000000"/>
              </w:rPr>
            </w:pPr>
          </w:p>
          <w:p w14:paraId="27D7166B" w14:textId="77777777" w:rsidR="00C41D0A" w:rsidRDefault="00C41D0A">
            <w:pPr>
              <w:jc w:val="center"/>
              <w:rPr>
                <w:rFonts w:ascii="Noto Sans" w:eastAsia="Noto Sans" w:hAnsi="Noto Sans" w:cs="Noto Sans"/>
                <w:color w:val="000000"/>
              </w:rPr>
            </w:pPr>
          </w:p>
        </w:tc>
      </w:tr>
      <w:tr w:rsidR="00C41D0A" w14:paraId="25D3CB3C" w14:textId="77777777" w:rsidTr="00523EF7">
        <w:tc>
          <w:tcPr>
            <w:tcW w:w="4390" w:type="dxa"/>
          </w:tcPr>
          <w:p w14:paraId="39DDA879" w14:textId="77777777" w:rsidR="00C41D0A" w:rsidRDefault="00C41D0A">
            <w:pPr>
              <w:tabs>
                <w:tab w:val="left" w:pos="522"/>
              </w:tabs>
              <w:jc w:val="center"/>
              <w:rPr>
                <w:rFonts w:ascii="Noto Sans" w:eastAsia="Noto Sans" w:hAnsi="Noto Sans" w:cs="Noto Sans"/>
                <w:color w:val="000000"/>
              </w:rPr>
            </w:pPr>
          </w:p>
          <w:p w14:paraId="0794FDE2" w14:textId="77777777" w:rsidR="00C41D0A" w:rsidRDefault="00C41D0A">
            <w:pPr>
              <w:tabs>
                <w:tab w:val="left" w:pos="522"/>
              </w:tabs>
              <w:jc w:val="center"/>
              <w:rPr>
                <w:rFonts w:ascii="Noto Sans" w:eastAsia="Noto Sans" w:hAnsi="Noto Sans" w:cs="Noto Sans"/>
                <w:color w:val="000000"/>
              </w:rPr>
            </w:pPr>
          </w:p>
          <w:p w14:paraId="79DC7075" w14:textId="77777777" w:rsidR="00C41D0A" w:rsidRDefault="00C41D0A">
            <w:pPr>
              <w:tabs>
                <w:tab w:val="left" w:pos="522"/>
              </w:tabs>
              <w:jc w:val="center"/>
              <w:rPr>
                <w:rFonts w:ascii="Noto Sans" w:eastAsia="Noto Sans" w:hAnsi="Noto Sans" w:cs="Noto Sans"/>
                <w:color w:val="000000"/>
              </w:rPr>
            </w:pPr>
          </w:p>
          <w:p w14:paraId="18D342E6" w14:textId="77777777" w:rsidR="00C41D0A" w:rsidRDefault="00C41D0A">
            <w:pPr>
              <w:tabs>
                <w:tab w:val="left" w:pos="522"/>
              </w:tabs>
              <w:jc w:val="center"/>
              <w:rPr>
                <w:rFonts w:ascii="Noto Sans" w:eastAsia="Noto Sans" w:hAnsi="Noto Sans" w:cs="Noto Sans"/>
                <w:color w:val="000000"/>
              </w:rPr>
            </w:pPr>
          </w:p>
          <w:p w14:paraId="7BBA37E9" w14:textId="77777777" w:rsidR="00C41D0A" w:rsidRDefault="00C41D0A">
            <w:pPr>
              <w:tabs>
                <w:tab w:val="left" w:pos="522"/>
              </w:tabs>
              <w:jc w:val="center"/>
              <w:rPr>
                <w:rFonts w:ascii="Noto Sans" w:eastAsia="Noto Sans" w:hAnsi="Noto Sans" w:cs="Noto Sans"/>
                <w:color w:val="000000"/>
              </w:rPr>
            </w:pPr>
          </w:p>
          <w:p w14:paraId="31FFD4FD" w14:textId="77777777" w:rsidR="00C41D0A" w:rsidRDefault="0057227D">
            <w:pPr>
              <w:tabs>
                <w:tab w:val="left" w:pos="522"/>
              </w:tabs>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“ALIMENTACIÓN PARA EL BIENESTAR”</w:t>
            </w:r>
          </w:p>
        </w:tc>
        <w:tc>
          <w:tcPr>
            <w:tcW w:w="992" w:type="dxa"/>
          </w:tcPr>
          <w:p w14:paraId="3E9AC4C1" w14:textId="77777777" w:rsidR="00C41D0A" w:rsidRDefault="00C41D0A">
            <w:pPr>
              <w:jc w:val="center"/>
              <w:rPr>
                <w:rFonts w:ascii="Noto Sans" w:eastAsia="Noto Sans" w:hAnsi="Noto Sans" w:cs="Noto Sans"/>
                <w:color w:val="000000"/>
              </w:rPr>
            </w:pPr>
          </w:p>
        </w:tc>
        <w:tc>
          <w:tcPr>
            <w:tcW w:w="4240" w:type="dxa"/>
          </w:tcPr>
          <w:p w14:paraId="527AE798" w14:textId="77777777" w:rsidR="00C41D0A" w:rsidRDefault="00C41D0A">
            <w:pPr>
              <w:jc w:val="center"/>
              <w:rPr>
                <w:rFonts w:ascii="Noto Sans" w:eastAsia="Noto Sans" w:hAnsi="Noto Sans" w:cs="Noto Sans"/>
                <w:color w:val="000000"/>
              </w:rPr>
            </w:pPr>
          </w:p>
          <w:p w14:paraId="501396FF" w14:textId="77777777" w:rsidR="00C41D0A" w:rsidRDefault="00C41D0A">
            <w:pPr>
              <w:jc w:val="center"/>
              <w:rPr>
                <w:rFonts w:ascii="Noto Sans" w:eastAsia="Noto Sans" w:hAnsi="Noto Sans" w:cs="Noto Sans"/>
                <w:color w:val="000000"/>
              </w:rPr>
            </w:pPr>
          </w:p>
          <w:p w14:paraId="1A949A3E" w14:textId="77777777" w:rsidR="00C41D0A" w:rsidRDefault="00C41D0A">
            <w:pPr>
              <w:jc w:val="center"/>
              <w:rPr>
                <w:rFonts w:ascii="Noto Sans" w:eastAsia="Noto Sans" w:hAnsi="Noto Sans" w:cs="Noto Sans"/>
                <w:color w:val="000000"/>
              </w:rPr>
            </w:pPr>
          </w:p>
          <w:p w14:paraId="51EDFBB0" w14:textId="77777777" w:rsidR="00C41D0A" w:rsidRDefault="00C41D0A">
            <w:pPr>
              <w:jc w:val="center"/>
              <w:rPr>
                <w:rFonts w:ascii="Noto Sans" w:eastAsia="Noto Sans" w:hAnsi="Noto Sans" w:cs="Noto Sans"/>
                <w:color w:val="000000"/>
              </w:rPr>
            </w:pPr>
          </w:p>
          <w:p w14:paraId="31DD6D80" w14:textId="77777777" w:rsidR="00C41D0A" w:rsidRDefault="00C41D0A">
            <w:pPr>
              <w:jc w:val="center"/>
              <w:rPr>
                <w:rFonts w:ascii="Noto Sans" w:eastAsia="Noto Sans" w:hAnsi="Noto Sans" w:cs="Noto Sans"/>
                <w:color w:val="000000"/>
              </w:rPr>
            </w:pPr>
          </w:p>
          <w:p w14:paraId="16BE83D2"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“ISSSTE”</w:t>
            </w:r>
          </w:p>
        </w:tc>
      </w:tr>
      <w:tr w:rsidR="00C41D0A" w14:paraId="73E585D6" w14:textId="77777777" w:rsidTr="00523EF7">
        <w:tc>
          <w:tcPr>
            <w:tcW w:w="4390" w:type="dxa"/>
          </w:tcPr>
          <w:p w14:paraId="49287C43" w14:textId="77777777" w:rsidR="00C41D0A" w:rsidRDefault="00C41D0A">
            <w:pPr>
              <w:jc w:val="center"/>
              <w:rPr>
                <w:rFonts w:ascii="Noto Sans" w:eastAsia="Noto Sans" w:hAnsi="Noto Sans" w:cs="Noto Sans"/>
                <w:b/>
                <w:bCs/>
                <w:color w:val="000000"/>
              </w:rPr>
            </w:pPr>
          </w:p>
          <w:p w14:paraId="3133EA69" w14:textId="77777777" w:rsidR="00C41D0A" w:rsidRDefault="00C41D0A">
            <w:pPr>
              <w:jc w:val="center"/>
              <w:rPr>
                <w:rFonts w:ascii="Noto Sans" w:eastAsia="Noto Sans" w:hAnsi="Noto Sans" w:cs="Noto Sans"/>
                <w:b/>
                <w:bCs/>
                <w:color w:val="000000"/>
              </w:rPr>
            </w:pPr>
          </w:p>
          <w:p w14:paraId="2FB49058" w14:textId="77777777" w:rsidR="00C41D0A" w:rsidRDefault="00C41D0A">
            <w:pPr>
              <w:jc w:val="center"/>
              <w:rPr>
                <w:rFonts w:ascii="Noto Sans" w:eastAsia="Noto Sans" w:hAnsi="Noto Sans" w:cs="Noto Sans"/>
                <w:b/>
                <w:bCs/>
                <w:color w:val="000000"/>
              </w:rPr>
            </w:pPr>
          </w:p>
          <w:p w14:paraId="3D123D69" w14:textId="77777777" w:rsidR="00C41D0A" w:rsidRDefault="00C41D0A">
            <w:pPr>
              <w:jc w:val="center"/>
              <w:rPr>
                <w:rFonts w:ascii="Noto Sans" w:eastAsia="Noto Sans" w:hAnsi="Noto Sans" w:cs="Noto Sans"/>
                <w:b/>
                <w:bCs/>
                <w:color w:val="000000"/>
              </w:rPr>
            </w:pPr>
          </w:p>
          <w:p w14:paraId="7FCABCE2" w14:textId="77777777" w:rsidR="00C41D0A" w:rsidRDefault="00C41D0A">
            <w:pPr>
              <w:jc w:val="center"/>
              <w:rPr>
                <w:rFonts w:ascii="Noto Sans" w:eastAsia="Noto Sans" w:hAnsi="Noto Sans" w:cs="Noto Sans"/>
                <w:b/>
                <w:bCs/>
                <w:color w:val="000000"/>
              </w:rPr>
            </w:pPr>
          </w:p>
          <w:p w14:paraId="1FBD1ED8" w14:textId="77777777" w:rsidR="00C41D0A" w:rsidRDefault="00C41D0A">
            <w:pPr>
              <w:jc w:val="center"/>
              <w:rPr>
                <w:rFonts w:ascii="Noto Sans" w:eastAsia="Noto Sans" w:hAnsi="Noto Sans" w:cs="Noto Sans"/>
                <w:b/>
                <w:bCs/>
                <w:color w:val="000000"/>
              </w:rPr>
            </w:pPr>
          </w:p>
          <w:p w14:paraId="3554F7F2"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LCDA. LIZETH TABLA MOYA</w:t>
            </w:r>
          </w:p>
          <w:p w14:paraId="17B8D097"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DIRECCIÓN DE OPERACIONES</w:t>
            </w:r>
          </w:p>
        </w:tc>
        <w:tc>
          <w:tcPr>
            <w:tcW w:w="992" w:type="dxa"/>
          </w:tcPr>
          <w:p w14:paraId="2826E3E2" w14:textId="77777777" w:rsidR="00C41D0A" w:rsidRDefault="00C41D0A">
            <w:pPr>
              <w:jc w:val="center"/>
              <w:rPr>
                <w:rFonts w:ascii="Noto Sans" w:eastAsia="Noto Sans" w:hAnsi="Noto Sans" w:cs="Noto Sans"/>
                <w:color w:val="000000"/>
              </w:rPr>
            </w:pPr>
          </w:p>
        </w:tc>
        <w:tc>
          <w:tcPr>
            <w:tcW w:w="4240" w:type="dxa"/>
          </w:tcPr>
          <w:p w14:paraId="77012353" w14:textId="77777777" w:rsidR="00C41D0A" w:rsidRDefault="00C41D0A">
            <w:pPr>
              <w:jc w:val="center"/>
              <w:rPr>
                <w:rFonts w:ascii="Noto Sans" w:eastAsia="Noto Sans" w:hAnsi="Noto Sans" w:cs="Noto Sans"/>
                <w:b/>
                <w:bCs/>
                <w:color w:val="000000"/>
              </w:rPr>
            </w:pPr>
          </w:p>
          <w:p w14:paraId="01B51946" w14:textId="77777777" w:rsidR="00C41D0A" w:rsidRDefault="00C41D0A">
            <w:pPr>
              <w:jc w:val="center"/>
              <w:rPr>
                <w:rFonts w:ascii="Noto Sans" w:eastAsia="Noto Sans" w:hAnsi="Noto Sans" w:cs="Noto Sans"/>
                <w:b/>
                <w:bCs/>
                <w:color w:val="000000"/>
              </w:rPr>
            </w:pPr>
          </w:p>
          <w:p w14:paraId="1B97381F" w14:textId="77777777" w:rsidR="00C41D0A" w:rsidRDefault="00C41D0A">
            <w:pPr>
              <w:jc w:val="center"/>
              <w:rPr>
                <w:rFonts w:ascii="Noto Sans" w:eastAsia="Noto Sans" w:hAnsi="Noto Sans" w:cs="Noto Sans"/>
                <w:b/>
                <w:bCs/>
                <w:color w:val="000000"/>
              </w:rPr>
            </w:pPr>
          </w:p>
          <w:p w14:paraId="1350BEC1" w14:textId="77777777" w:rsidR="00C41D0A" w:rsidRDefault="00C41D0A">
            <w:pPr>
              <w:jc w:val="center"/>
              <w:rPr>
                <w:rFonts w:ascii="Noto Sans" w:eastAsia="Noto Sans" w:hAnsi="Noto Sans" w:cs="Noto Sans"/>
                <w:b/>
                <w:bCs/>
                <w:color w:val="000000"/>
              </w:rPr>
            </w:pPr>
          </w:p>
          <w:p w14:paraId="1BB2B327" w14:textId="77777777" w:rsidR="00C41D0A" w:rsidRDefault="00C41D0A">
            <w:pPr>
              <w:jc w:val="center"/>
              <w:rPr>
                <w:rFonts w:ascii="Noto Sans" w:eastAsia="Noto Sans" w:hAnsi="Noto Sans" w:cs="Noto Sans"/>
                <w:b/>
                <w:bCs/>
                <w:color w:val="000000"/>
              </w:rPr>
            </w:pPr>
          </w:p>
          <w:p w14:paraId="318FAC1F" w14:textId="77777777" w:rsidR="00C41D0A" w:rsidRDefault="00C41D0A">
            <w:pPr>
              <w:jc w:val="center"/>
              <w:rPr>
                <w:rFonts w:ascii="Noto Sans" w:eastAsia="Noto Sans" w:hAnsi="Noto Sans" w:cs="Noto Sans"/>
                <w:b/>
                <w:bCs/>
                <w:color w:val="000000"/>
              </w:rPr>
            </w:pPr>
          </w:p>
          <w:p w14:paraId="6FCAE9A4"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MTRA. DIANA GARCÍA YAÑEZ</w:t>
            </w:r>
          </w:p>
          <w:p w14:paraId="56722440"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SUBDIRECCIÓN DE ALMACENES</w:t>
            </w:r>
          </w:p>
        </w:tc>
      </w:tr>
      <w:tr w:rsidR="00C41D0A" w14:paraId="1919304E" w14:textId="77777777" w:rsidTr="00523EF7">
        <w:tc>
          <w:tcPr>
            <w:tcW w:w="4390" w:type="dxa"/>
          </w:tcPr>
          <w:p w14:paraId="474C53BC" w14:textId="77777777" w:rsidR="00C41D0A" w:rsidRDefault="00C41D0A">
            <w:pPr>
              <w:jc w:val="center"/>
              <w:rPr>
                <w:rFonts w:ascii="Noto Sans" w:eastAsia="Noto Sans" w:hAnsi="Noto Sans" w:cs="Noto Sans"/>
                <w:color w:val="000000"/>
              </w:rPr>
            </w:pPr>
          </w:p>
          <w:p w14:paraId="563529D7" w14:textId="77777777" w:rsidR="00C41D0A" w:rsidRDefault="00C41D0A">
            <w:pPr>
              <w:jc w:val="center"/>
              <w:rPr>
                <w:rFonts w:ascii="Noto Sans" w:eastAsia="Noto Sans" w:hAnsi="Noto Sans" w:cs="Noto Sans"/>
                <w:color w:val="000000"/>
              </w:rPr>
            </w:pPr>
          </w:p>
          <w:p w14:paraId="5092EF14" w14:textId="77777777" w:rsidR="00C41D0A" w:rsidRDefault="00C41D0A">
            <w:pPr>
              <w:jc w:val="center"/>
              <w:rPr>
                <w:rFonts w:ascii="Noto Sans" w:eastAsia="Noto Sans" w:hAnsi="Noto Sans" w:cs="Noto Sans"/>
                <w:color w:val="000000"/>
              </w:rPr>
            </w:pPr>
          </w:p>
          <w:p w14:paraId="2FEAA12B" w14:textId="77777777" w:rsidR="00C41D0A" w:rsidRDefault="00C41D0A">
            <w:pPr>
              <w:jc w:val="center"/>
              <w:rPr>
                <w:rFonts w:ascii="Noto Sans" w:eastAsia="Noto Sans" w:hAnsi="Noto Sans" w:cs="Noto Sans"/>
                <w:color w:val="000000"/>
              </w:rPr>
            </w:pPr>
          </w:p>
          <w:p w14:paraId="5735AC5C" w14:textId="77777777" w:rsidR="00C41D0A" w:rsidRDefault="00C41D0A">
            <w:pPr>
              <w:jc w:val="center"/>
              <w:rPr>
                <w:rFonts w:ascii="Noto Sans" w:eastAsia="Noto Sans" w:hAnsi="Noto Sans" w:cs="Noto Sans"/>
                <w:color w:val="000000"/>
              </w:rPr>
            </w:pPr>
          </w:p>
          <w:p w14:paraId="41223909" w14:textId="77777777" w:rsidR="00C41D0A" w:rsidRDefault="00C41D0A">
            <w:pPr>
              <w:jc w:val="center"/>
              <w:rPr>
                <w:rFonts w:ascii="Noto Sans" w:eastAsia="Noto Sans" w:hAnsi="Noto Sans" w:cs="Noto Sans"/>
                <w:color w:val="000000"/>
              </w:rPr>
            </w:pPr>
          </w:p>
          <w:p w14:paraId="58F2F286"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“COFEPRIS”</w:t>
            </w:r>
          </w:p>
        </w:tc>
        <w:tc>
          <w:tcPr>
            <w:tcW w:w="992" w:type="dxa"/>
          </w:tcPr>
          <w:p w14:paraId="7B4ED9DD" w14:textId="77777777" w:rsidR="00C41D0A" w:rsidRDefault="00C41D0A">
            <w:pPr>
              <w:jc w:val="center"/>
              <w:rPr>
                <w:rFonts w:ascii="Noto Sans" w:eastAsia="Noto Sans" w:hAnsi="Noto Sans" w:cs="Noto Sans"/>
                <w:color w:val="000000"/>
              </w:rPr>
            </w:pPr>
          </w:p>
        </w:tc>
        <w:tc>
          <w:tcPr>
            <w:tcW w:w="4240" w:type="dxa"/>
          </w:tcPr>
          <w:p w14:paraId="1B08F5AA" w14:textId="77777777" w:rsidR="00C41D0A" w:rsidRDefault="00C41D0A">
            <w:pPr>
              <w:jc w:val="center"/>
              <w:rPr>
                <w:rFonts w:ascii="Noto Sans" w:eastAsia="Noto Sans" w:hAnsi="Noto Sans" w:cs="Noto Sans"/>
                <w:color w:val="000000"/>
              </w:rPr>
            </w:pPr>
          </w:p>
          <w:p w14:paraId="41C53055" w14:textId="77777777" w:rsidR="00C41D0A" w:rsidRDefault="00C41D0A">
            <w:pPr>
              <w:jc w:val="center"/>
              <w:rPr>
                <w:rFonts w:ascii="Noto Sans" w:eastAsia="Noto Sans" w:hAnsi="Noto Sans" w:cs="Noto Sans"/>
                <w:color w:val="000000"/>
              </w:rPr>
            </w:pPr>
          </w:p>
          <w:p w14:paraId="44DC01D9" w14:textId="77777777" w:rsidR="00C41D0A" w:rsidRDefault="00C41D0A">
            <w:pPr>
              <w:jc w:val="center"/>
              <w:rPr>
                <w:rFonts w:ascii="Noto Sans" w:eastAsia="Noto Sans" w:hAnsi="Noto Sans" w:cs="Noto Sans"/>
                <w:color w:val="000000"/>
              </w:rPr>
            </w:pPr>
          </w:p>
          <w:p w14:paraId="473FBAEC" w14:textId="77777777" w:rsidR="00C41D0A" w:rsidRDefault="00C41D0A">
            <w:pPr>
              <w:jc w:val="center"/>
              <w:rPr>
                <w:rFonts w:ascii="Noto Sans" w:eastAsia="Noto Sans" w:hAnsi="Noto Sans" w:cs="Noto Sans"/>
                <w:color w:val="000000"/>
              </w:rPr>
            </w:pPr>
          </w:p>
          <w:p w14:paraId="72F2C872" w14:textId="77777777" w:rsidR="00C41D0A" w:rsidRDefault="00C41D0A">
            <w:pPr>
              <w:jc w:val="center"/>
              <w:rPr>
                <w:rFonts w:ascii="Noto Sans" w:eastAsia="Noto Sans" w:hAnsi="Noto Sans" w:cs="Noto Sans"/>
                <w:color w:val="000000"/>
              </w:rPr>
            </w:pPr>
          </w:p>
          <w:p w14:paraId="6700C003" w14:textId="77777777" w:rsidR="00C41D0A" w:rsidRDefault="00C41D0A">
            <w:pPr>
              <w:jc w:val="center"/>
              <w:rPr>
                <w:rFonts w:ascii="Noto Sans" w:eastAsia="Noto Sans" w:hAnsi="Noto Sans" w:cs="Noto Sans"/>
                <w:color w:val="000000"/>
              </w:rPr>
            </w:pPr>
          </w:p>
          <w:p w14:paraId="22D32402"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 xml:space="preserve">POR </w:t>
            </w:r>
            <w:r>
              <w:rPr>
                <w:rFonts w:ascii="Noto Sans" w:eastAsia="Noto Sans" w:hAnsi="Noto Sans" w:cs="Noto Sans"/>
                <w:b/>
                <w:bCs/>
                <w:color w:val="000000"/>
              </w:rPr>
              <w:t>“BIRMEX”</w:t>
            </w:r>
          </w:p>
        </w:tc>
      </w:tr>
      <w:tr w:rsidR="00C41D0A" w14:paraId="06B4D32C" w14:textId="77777777" w:rsidTr="00523EF7">
        <w:tc>
          <w:tcPr>
            <w:tcW w:w="4390" w:type="dxa"/>
          </w:tcPr>
          <w:p w14:paraId="765ED010" w14:textId="77777777" w:rsidR="00C41D0A" w:rsidRDefault="00C41D0A">
            <w:pPr>
              <w:jc w:val="center"/>
              <w:rPr>
                <w:rFonts w:ascii="Noto Sans" w:eastAsia="Noto Sans" w:hAnsi="Noto Sans" w:cs="Noto Sans"/>
                <w:b/>
                <w:bCs/>
                <w:color w:val="000000"/>
              </w:rPr>
            </w:pPr>
          </w:p>
          <w:p w14:paraId="2E60EAB4" w14:textId="77777777" w:rsidR="00C41D0A" w:rsidRDefault="00C41D0A">
            <w:pPr>
              <w:jc w:val="center"/>
              <w:rPr>
                <w:rFonts w:ascii="Noto Sans" w:eastAsia="Noto Sans" w:hAnsi="Noto Sans" w:cs="Noto Sans"/>
                <w:b/>
                <w:bCs/>
                <w:color w:val="000000"/>
              </w:rPr>
            </w:pPr>
          </w:p>
          <w:p w14:paraId="5718BCA7" w14:textId="77777777" w:rsidR="00C41D0A" w:rsidRDefault="00C41D0A">
            <w:pPr>
              <w:jc w:val="center"/>
              <w:rPr>
                <w:rFonts w:ascii="Noto Sans" w:eastAsia="Noto Sans" w:hAnsi="Noto Sans" w:cs="Noto Sans"/>
                <w:b/>
                <w:bCs/>
                <w:color w:val="000000"/>
              </w:rPr>
            </w:pPr>
          </w:p>
          <w:p w14:paraId="6B0A3486" w14:textId="77777777" w:rsidR="00C41D0A" w:rsidRDefault="00C41D0A">
            <w:pPr>
              <w:jc w:val="center"/>
              <w:rPr>
                <w:rFonts w:ascii="Noto Sans" w:eastAsia="Noto Sans" w:hAnsi="Noto Sans" w:cs="Noto Sans"/>
                <w:b/>
                <w:bCs/>
                <w:color w:val="000000"/>
              </w:rPr>
            </w:pPr>
          </w:p>
          <w:p w14:paraId="018DDB11" w14:textId="77777777" w:rsidR="00C41D0A" w:rsidRDefault="00C41D0A">
            <w:pPr>
              <w:jc w:val="center"/>
              <w:rPr>
                <w:rFonts w:ascii="Noto Sans" w:eastAsia="Noto Sans" w:hAnsi="Noto Sans" w:cs="Noto Sans"/>
                <w:b/>
                <w:bCs/>
                <w:color w:val="000000"/>
              </w:rPr>
            </w:pPr>
          </w:p>
          <w:p w14:paraId="3A19BB52" w14:textId="77777777" w:rsidR="00C41D0A" w:rsidRDefault="00C41D0A">
            <w:pPr>
              <w:jc w:val="center"/>
              <w:rPr>
                <w:rFonts w:ascii="Noto Sans" w:eastAsia="Noto Sans" w:hAnsi="Noto Sans" w:cs="Noto Sans"/>
                <w:b/>
                <w:bCs/>
                <w:color w:val="000000"/>
              </w:rPr>
            </w:pPr>
          </w:p>
          <w:p w14:paraId="08340FB6" w14:textId="77777777" w:rsidR="00C41D0A" w:rsidRDefault="0057227D">
            <w:pPr>
              <w:jc w:val="center"/>
              <w:rPr>
                <w:rFonts w:ascii="Noto Sans" w:eastAsia="Noto Sans" w:hAnsi="Noto Sans" w:cs="Noto Sans"/>
                <w:color w:val="000000"/>
              </w:rPr>
            </w:pPr>
            <w:r>
              <w:rPr>
                <w:rFonts w:ascii="Noto Sans" w:eastAsia="Noto Sans" w:hAnsi="Noto Sans" w:cs="Noto Sans"/>
                <w:b/>
                <w:bCs/>
                <w:color w:val="000000"/>
              </w:rPr>
              <w:t>MTRA. MARÍA ESTHER DIAZ CARRILLO</w:t>
            </w:r>
          </w:p>
          <w:p w14:paraId="504B6CAB"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COMISIÓN DE EVIDENCIA Y MANEJO DE RIESGOS</w:t>
            </w:r>
          </w:p>
        </w:tc>
        <w:tc>
          <w:tcPr>
            <w:tcW w:w="992" w:type="dxa"/>
          </w:tcPr>
          <w:p w14:paraId="7894B4C2" w14:textId="77777777" w:rsidR="00C41D0A" w:rsidRDefault="00C41D0A">
            <w:pPr>
              <w:jc w:val="center"/>
              <w:rPr>
                <w:rFonts w:ascii="Noto Sans" w:eastAsia="Noto Sans" w:hAnsi="Noto Sans" w:cs="Noto Sans"/>
                <w:color w:val="000000"/>
              </w:rPr>
            </w:pPr>
          </w:p>
        </w:tc>
        <w:tc>
          <w:tcPr>
            <w:tcW w:w="4240" w:type="dxa"/>
          </w:tcPr>
          <w:p w14:paraId="7BE7721B" w14:textId="77777777" w:rsidR="00C41D0A" w:rsidRDefault="00C41D0A">
            <w:pPr>
              <w:jc w:val="center"/>
              <w:rPr>
                <w:rFonts w:ascii="Noto Sans" w:eastAsia="Noto Sans" w:hAnsi="Noto Sans" w:cs="Noto Sans"/>
                <w:b/>
                <w:bCs/>
                <w:color w:val="000000"/>
              </w:rPr>
            </w:pPr>
          </w:p>
          <w:p w14:paraId="79116AEB" w14:textId="77777777" w:rsidR="00C41D0A" w:rsidRDefault="00C41D0A">
            <w:pPr>
              <w:jc w:val="center"/>
              <w:rPr>
                <w:rFonts w:ascii="Noto Sans" w:eastAsia="Noto Sans" w:hAnsi="Noto Sans" w:cs="Noto Sans"/>
                <w:b/>
                <w:bCs/>
                <w:color w:val="000000"/>
              </w:rPr>
            </w:pPr>
          </w:p>
          <w:p w14:paraId="2C3FB5FA" w14:textId="77777777" w:rsidR="00C41D0A" w:rsidRDefault="00C41D0A">
            <w:pPr>
              <w:jc w:val="center"/>
              <w:rPr>
                <w:rFonts w:ascii="Noto Sans" w:eastAsia="Noto Sans" w:hAnsi="Noto Sans" w:cs="Noto Sans"/>
                <w:b/>
                <w:bCs/>
                <w:color w:val="000000"/>
              </w:rPr>
            </w:pPr>
          </w:p>
          <w:p w14:paraId="2335145C" w14:textId="77777777" w:rsidR="00C41D0A" w:rsidRDefault="00C41D0A">
            <w:pPr>
              <w:jc w:val="center"/>
              <w:rPr>
                <w:rFonts w:ascii="Noto Sans" w:eastAsia="Noto Sans" w:hAnsi="Noto Sans" w:cs="Noto Sans"/>
                <w:b/>
                <w:bCs/>
                <w:color w:val="000000"/>
              </w:rPr>
            </w:pPr>
          </w:p>
          <w:p w14:paraId="465ACD69" w14:textId="77777777" w:rsidR="00C41D0A" w:rsidRDefault="00C41D0A">
            <w:pPr>
              <w:jc w:val="center"/>
              <w:rPr>
                <w:rFonts w:ascii="Noto Sans" w:eastAsia="Noto Sans" w:hAnsi="Noto Sans" w:cs="Noto Sans"/>
                <w:b/>
                <w:bCs/>
                <w:color w:val="000000"/>
              </w:rPr>
            </w:pPr>
          </w:p>
          <w:p w14:paraId="248713A2" w14:textId="77777777" w:rsidR="00C41D0A" w:rsidRDefault="00C41D0A">
            <w:pPr>
              <w:jc w:val="center"/>
              <w:rPr>
                <w:rFonts w:ascii="Noto Sans" w:eastAsia="Noto Sans" w:hAnsi="Noto Sans" w:cs="Noto Sans"/>
                <w:b/>
                <w:bCs/>
                <w:color w:val="000000"/>
              </w:rPr>
            </w:pPr>
          </w:p>
          <w:p w14:paraId="6D08E333" w14:textId="77777777" w:rsidR="00C41D0A" w:rsidRDefault="0057227D">
            <w:pPr>
              <w:jc w:val="center"/>
              <w:rPr>
                <w:rFonts w:ascii="Noto Sans" w:eastAsia="Noto Sans" w:hAnsi="Noto Sans" w:cs="Noto Sans"/>
                <w:b/>
                <w:bCs/>
                <w:color w:val="000000"/>
              </w:rPr>
            </w:pPr>
            <w:r>
              <w:rPr>
                <w:rFonts w:ascii="Noto Sans" w:eastAsia="Noto Sans" w:hAnsi="Noto Sans" w:cs="Noto Sans"/>
                <w:b/>
                <w:bCs/>
                <w:color w:val="000000"/>
              </w:rPr>
              <w:t>LIC. SANTIAGO SHALOM MARTÍNEZ HERNÁNDEZ</w:t>
            </w:r>
          </w:p>
          <w:p w14:paraId="090101F5" w14:textId="77777777" w:rsidR="00C41D0A" w:rsidRDefault="0057227D">
            <w:pPr>
              <w:jc w:val="center"/>
              <w:rPr>
                <w:rFonts w:ascii="Noto Sans" w:eastAsia="Noto Sans" w:hAnsi="Noto Sans" w:cs="Noto Sans"/>
                <w:color w:val="000000"/>
              </w:rPr>
            </w:pPr>
            <w:r>
              <w:rPr>
                <w:rFonts w:ascii="Noto Sans" w:eastAsia="Noto Sans" w:hAnsi="Noto Sans" w:cs="Noto Sans"/>
                <w:color w:val="000000"/>
              </w:rPr>
              <w:t>TITULAR DE LA DIRECCIÓN DE PLANEACIÓN ESTRATÉGICA</w:t>
            </w:r>
          </w:p>
        </w:tc>
      </w:tr>
    </w:tbl>
    <w:p w14:paraId="6215F72E" w14:textId="77777777" w:rsidR="00C41D0A" w:rsidRDefault="00C41D0A">
      <w:pPr>
        <w:pBdr>
          <w:top w:val="nil"/>
          <w:left w:val="nil"/>
          <w:bottom w:val="nil"/>
          <w:right w:val="nil"/>
          <w:between w:val="nil"/>
        </w:pBdr>
        <w:jc w:val="both"/>
        <w:rPr>
          <w:rFonts w:ascii="Noto Sans" w:eastAsia="Noto Sans" w:hAnsi="Noto Sans" w:cs="Noto Sans"/>
          <w:color w:val="000000"/>
        </w:rPr>
      </w:pPr>
    </w:p>
    <w:p w14:paraId="7FB88263" w14:textId="77777777" w:rsidR="00C41D0A" w:rsidRDefault="00C41D0A">
      <w:pPr>
        <w:tabs>
          <w:tab w:val="left" w:pos="1642"/>
        </w:tabs>
        <w:rPr>
          <w:rFonts w:ascii="Noto Sans" w:eastAsia="Noto Sans" w:hAnsi="Noto Sans" w:cs="Noto Sans"/>
        </w:rPr>
      </w:pPr>
    </w:p>
    <w:p w14:paraId="646F18A2" w14:textId="77777777" w:rsidR="00C41D0A" w:rsidRDefault="00C41D0A">
      <w:pPr>
        <w:tabs>
          <w:tab w:val="left" w:pos="1642"/>
        </w:tabs>
        <w:rPr>
          <w:rFonts w:ascii="Noto Sans" w:eastAsia="Noto Sans" w:hAnsi="Noto Sans" w:cs="Noto Sans"/>
        </w:rPr>
      </w:pPr>
    </w:p>
    <w:p w14:paraId="1510E4AF" w14:textId="77777777" w:rsidR="00C41D0A" w:rsidRDefault="00C41D0A">
      <w:pPr>
        <w:tabs>
          <w:tab w:val="left" w:pos="1642"/>
        </w:tabs>
        <w:rPr>
          <w:rFonts w:ascii="Noto Sans" w:eastAsia="Noto Sans" w:hAnsi="Noto Sans" w:cs="Noto Sans"/>
        </w:rPr>
      </w:pPr>
    </w:p>
    <w:p w14:paraId="4421BB48" w14:textId="77777777" w:rsidR="00C41D0A" w:rsidRDefault="0057227D">
      <w:pPr>
        <w:pBdr>
          <w:top w:val="nil"/>
          <w:left w:val="nil"/>
          <w:bottom w:val="nil"/>
          <w:right w:val="nil"/>
          <w:between w:val="nil"/>
        </w:pBdr>
        <w:ind w:left="142"/>
        <w:jc w:val="both"/>
        <w:rPr>
          <w:rFonts w:ascii="Noto Sans" w:eastAsia="Noto Sans" w:hAnsi="Noto Sans" w:cs="Noto Sans"/>
          <w:sz w:val="12"/>
          <w:szCs w:val="12"/>
        </w:rPr>
      </w:pPr>
      <w:r>
        <w:rPr>
          <w:rFonts w:ascii="Noto Sans" w:eastAsia="Noto Sans" w:hAnsi="Noto Sans" w:cs="Noto Sans"/>
          <w:sz w:val="12"/>
          <w:szCs w:val="12"/>
        </w:rPr>
        <w:t>LA PRESENTE HOJA DE FIRMAS FORMA PARTE DEL ANEXO 3: CONDICIONES DEL SERVICIO INTEGRADO, DEL CONVENIO DE COLABORACIÓN SUSCRITO ENTRE LA SECRETARÍA DE SALUD CON LA PARTICIPACIÓN DE LA COMISIÓN FEDERAL PARA LA PROTECCIÓN CONTRA RIESGOS SANITARIOS; SECRETARÍA DE BIENESTAR; SERVICIOS DE SALUD DEL INSTITUTO MEXICANO DEL SEGURO SOCIAL PARA EL BIENESTAR (IMSS-BIENESTAR); INSTITUTO MEXICANO DEL SEGURO SOCIAL; INSTITUTO DE SEGURIDAD Y SERVICIOS SOCIALES DE LOS TRABAJADORES DEL ESTADO; ALIMENTACIÓN PARA EL BIENESTAR, S.A. DE C.V. Y LABORATORIOS DE BIOLÓGICOS Y REACTIVOS DE MÉXICO, S.A. DE C.V., EN LA CIUDAD DE MÉXICO, EL DÍA 17 de agosto DEL AÑO 2026</w:t>
      </w:r>
    </w:p>
    <w:sectPr w:rsidR="00C41D0A">
      <w:headerReference w:type="default" r:id="rId8"/>
      <w:footerReference w:type="default" r:id="rId9"/>
      <w:headerReference w:type="first" r:id="rId10"/>
      <w:pgSz w:w="12240" w:h="15840"/>
      <w:pgMar w:top="1417" w:right="1701"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8F3ED" w14:textId="77777777" w:rsidR="00AD1330" w:rsidRDefault="00AD1330">
      <w:r>
        <w:separator/>
      </w:r>
    </w:p>
  </w:endnote>
  <w:endnote w:type="continuationSeparator" w:id="0">
    <w:p w14:paraId="28164408" w14:textId="77777777" w:rsidR="00AD1330" w:rsidRDefault="00AD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A72CC8A2-B71F-4A00-A1A5-3AEA082184E2}"/>
  </w:font>
  <w:font w:name="Aptos Display">
    <w:charset w:val="00"/>
    <w:family w:val="swiss"/>
    <w:pitch w:val="variable"/>
    <w:sig w:usb0="20000287" w:usb1="00000003" w:usb2="00000000" w:usb3="00000000" w:csb0="0000019F" w:csb1="00000000"/>
    <w:embedRegular r:id="rId2" w:fontKey="{B6208FB3-B99F-4957-9024-22105E0DDEEB}"/>
  </w:font>
  <w:font w:name="Tahoma">
    <w:panose1 w:val="020B0604030504040204"/>
    <w:charset w:val="00"/>
    <w:family w:val="swiss"/>
    <w:pitch w:val="variable"/>
    <w:sig w:usb0="E1002EFF" w:usb1="C000605B" w:usb2="00000029" w:usb3="00000000" w:csb0="000101FF" w:csb1="00000000"/>
    <w:embedRegular r:id="rId3" w:fontKey="{7FE610AE-F02B-475F-803E-7B02DFCF86B8}"/>
  </w:font>
  <w:font w:name="Noto Sans">
    <w:altName w:val="Bahnschrift Light"/>
    <w:panose1 w:val="020B0502040504020204"/>
    <w:charset w:val="00"/>
    <w:family w:val="swiss"/>
    <w:pitch w:val="variable"/>
    <w:sig w:usb0="E00082FF" w:usb1="400078FF" w:usb2="08000029" w:usb3="00000000" w:csb0="0000019F" w:csb1="00000000"/>
    <w:embedRegular r:id="rId4" w:fontKey="{A147A665-F12E-490D-B367-894173984897}"/>
    <w:embedBold r:id="rId5" w:fontKey="{6A5E6F43-1491-45F8-8D56-A9F813B9DF26}"/>
  </w:font>
  <w:font w:name="Montserrat">
    <w:charset w:val="00"/>
    <w:family w:val="auto"/>
    <w:pitch w:val="variable"/>
    <w:sig w:usb0="2000020F" w:usb1="00000003" w:usb2="00000000" w:usb3="00000000" w:csb0="00000197" w:csb1="00000000"/>
    <w:embedRegular r:id="rId6" w:fontKey="{C0F6CB06-C42B-4F7D-A218-11162B43DAFF}"/>
  </w:font>
  <w:font w:name="Aptos">
    <w:charset w:val="00"/>
    <w:family w:val="swiss"/>
    <w:pitch w:val="variable"/>
    <w:sig w:usb0="20000287" w:usb1="00000003" w:usb2="00000000" w:usb3="00000000" w:csb0="0000019F" w:csb1="00000000"/>
    <w:embedRegular r:id="rId7" w:fontKey="{08EA5210-8E7E-498D-8224-A6ACA2592C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28EC" w14:textId="77777777" w:rsidR="00C41D0A" w:rsidRDefault="00C41D0A">
    <w:pPr>
      <w:jc w:val="right"/>
    </w:pPr>
  </w:p>
  <w:p w14:paraId="145BAA39" w14:textId="77777777" w:rsidR="00C41D0A" w:rsidRDefault="0057227D">
    <w:pPr>
      <w:pBdr>
        <w:top w:val="nil"/>
        <w:left w:val="nil"/>
        <w:bottom w:val="nil"/>
        <w:right w:val="nil"/>
        <w:between w:val="nil"/>
      </w:pBdr>
      <w:tabs>
        <w:tab w:val="center" w:pos="4419"/>
        <w:tab w:val="right" w:pos="8838"/>
      </w:tabs>
    </w:pPr>
    <w:r>
      <w:rPr>
        <w:noProof/>
        <w:lang w:val="es-MX"/>
      </w:rPr>
      <w:drawing>
        <wp:anchor distT="0" distB="0" distL="114300" distR="114300" simplePos="0" relativeHeight="251658240" behindDoc="0" locked="0" layoutInCell="1" hidden="0" allowOverlap="1" wp14:anchorId="6D11737D" wp14:editId="518883F6">
          <wp:simplePos x="0" y="0"/>
          <wp:positionH relativeFrom="column">
            <wp:posOffset>-270342</wp:posOffset>
          </wp:positionH>
          <wp:positionV relativeFrom="paragraph">
            <wp:posOffset>74185</wp:posOffset>
          </wp:positionV>
          <wp:extent cx="6202045" cy="45085"/>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202045" cy="45085"/>
                  </a:xfrm>
                  <a:prstGeom prst="rect">
                    <a:avLst/>
                  </a:prstGeom>
                  <a:ln/>
                </pic:spPr>
              </pic:pic>
            </a:graphicData>
          </a:graphic>
        </wp:anchor>
      </w:drawing>
    </w:r>
  </w:p>
  <w:p w14:paraId="1B9E00EF" w14:textId="77777777" w:rsidR="00C41D0A" w:rsidRDefault="0057227D">
    <w:pPr>
      <w:pBdr>
        <w:top w:val="nil"/>
        <w:left w:val="nil"/>
        <w:bottom w:val="nil"/>
        <w:right w:val="nil"/>
        <w:between w:val="nil"/>
      </w:pBdr>
      <w:tabs>
        <w:tab w:val="center" w:pos="4419"/>
        <w:tab w:val="right" w:pos="8838"/>
      </w:tabs>
      <w:jc w:val="right"/>
      <w:rPr>
        <w:rFonts w:ascii="Montserrat" w:eastAsia="Montserrat" w:hAnsi="Montserrat" w:cs="Montserrat"/>
      </w:rPr>
    </w:pPr>
    <w:r>
      <w:rPr>
        <w:rFonts w:ascii="Montserrat" w:eastAsia="Montserrat" w:hAnsi="Montserrat" w:cs="Montserrat"/>
      </w:rPr>
      <w:fldChar w:fldCharType="begin"/>
    </w:r>
    <w:r>
      <w:rPr>
        <w:rFonts w:ascii="Montserrat" w:eastAsia="Montserrat" w:hAnsi="Montserrat" w:cs="Montserrat"/>
      </w:rPr>
      <w:instrText>PAGE</w:instrText>
    </w:r>
    <w:r>
      <w:rPr>
        <w:rFonts w:ascii="Montserrat" w:eastAsia="Montserrat" w:hAnsi="Montserrat" w:cs="Montserrat"/>
      </w:rPr>
      <w:fldChar w:fldCharType="separate"/>
    </w:r>
    <w:r w:rsidR="00523EF7">
      <w:rPr>
        <w:rFonts w:ascii="Montserrat" w:eastAsia="Montserrat" w:hAnsi="Montserrat" w:cs="Montserrat"/>
        <w:noProof/>
      </w:rPr>
      <w:t>11</w:t>
    </w:r>
    <w:r>
      <w:rPr>
        <w:rFonts w:ascii="Montserrat" w:eastAsia="Montserrat" w:hAnsi="Montserrat" w:cs="Montserrat"/>
      </w:rPr>
      <w:fldChar w:fldCharType="end"/>
    </w:r>
    <w:r>
      <w:rPr>
        <w:rFonts w:ascii="Montserrat" w:eastAsia="Montserrat" w:hAnsi="Montserrat" w:cs="Montserrat"/>
      </w:rPr>
      <w:t xml:space="preserve"> de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EB62" w14:textId="77777777" w:rsidR="00AD1330" w:rsidRDefault="00AD1330">
      <w:r>
        <w:separator/>
      </w:r>
    </w:p>
  </w:footnote>
  <w:footnote w:type="continuationSeparator" w:id="0">
    <w:p w14:paraId="4CF77069" w14:textId="77777777" w:rsidR="00AD1330" w:rsidRDefault="00AD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0AB1" w14:textId="77777777" w:rsidR="00C41D0A" w:rsidRDefault="0057227D">
    <w:pPr>
      <w:pBdr>
        <w:top w:val="nil"/>
        <w:left w:val="nil"/>
        <w:bottom w:val="nil"/>
        <w:right w:val="nil"/>
        <w:between w:val="nil"/>
      </w:pBdr>
      <w:tabs>
        <w:tab w:val="center" w:pos="4419"/>
        <w:tab w:val="right" w:pos="8838"/>
      </w:tabs>
      <w:rPr>
        <w:color w:val="000000"/>
      </w:rPr>
    </w:pPr>
    <w:r>
      <w:rPr>
        <w:noProof/>
        <w:color w:val="000000"/>
        <w:lang w:val="es-MX"/>
      </w:rPr>
      <w:drawing>
        <wp:inline distT="114300" distB="114300" distL="114300" distR="114300" wp14:anchorId="59B54194" wp14:editId="19A1BE62">
          <wp:extent cx="5612130" cy="321112"/>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612130" cy="321112"/>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87B0" w14:textId="77777777" w:rsidR="00C41D0A" w:rsidRDefault="0057227D" w:rsidP="00523EF7">
    <w:pPr>
      <w:tabs>
        <w:tab w:val="center" w:pos="4419"/>
        <w:tab w:val="right" w:pos="8838"/>
      </w:tabs>
      <w:ind w:left="-851"/>
    </w:pPr>
    <w:r>
      <w:rPr>
        <w:noProof/>
        <w:lang w:val="es-MX"/>
      </w:rPr>
      <w:drawing>
        <wp:inline distT="114300" distB="114300" distL="114300" distR="114300" wp14:anchorId="7D3B5073" wp14:editId="678A550B">
          <wp:extent cx="6743700" cy="390525"/>
          <wp:effectExtent l="0" t="0" r="0" b="9525"/>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743700" cy="3905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D09C7"/>
    <w:multiLevelType w:val="multilevel"/>
    <w:tmpl w:val="A1C8DE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8465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D0A"/>
    <w:rsid w:val="00523EF7"/>
    <w:rsid w:val="0057227D"/>
    <w:rsid w:val="006C687C"/>
    <w:rsid w:val="00AD1330"/>
    <w:rsid w:val="00B71921"/>
    <w:rsid w:val="00C41D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F90B7"/>
  <w15:docId w15:val="{5934E827-7EFD-4DC6-BF2A-47E15AC66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iCs/>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outlineLvl w:val="5"/>
    </w:pPr>
    <w:rPr>
      <w:i/>
      <w:iCs/>
      <w:color w:val="595959"/>
    </w:rPr>
  </w:style>
  <w:style w:type="paragraph" w:styleId="Ttulo7">
    <w:name w:val="heading 7"/>
    <w:basedOn w:val="Normal"/>
    <w:next w:val="Normal"/>
    <w:link w:val="Ttulo7Car"/>
    <w:uiPriority w:val="9"/>
    <w:semiHidden/>
    <w:unhideWhenUsed/>
    <w:qFormat/>
    <w:rsid w:val="004215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215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215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ar">
    <w:name w:val="Título 1 Car"/>
    <w:basedOn w:val="Fuentedeprrafopredeter"/>
    <w:uiPriority w:val="9"/>
    <w:rsid w:val="004215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4215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42158E"/>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42158E"/>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42158E"/>
    <w:rPr>
      <w:rFonts w:eastAsiaTheme="majorEastAsia" w:cstheme="majorBidi"/>
      <w:color w:val="0F4761" w:themeColor="accent1" w:themeShade="BF"/>
    </w:rPr>
  </w:style>
  <w:style w:type="character" w:customStyle="1" w:styleId="Ttulo6Car">
    <w:name w:val="Título 6 Car"/>
    <w:basedOn w:val="Fuentedeprrafopredeter"/>
    <w:uiPriority w:val="9"/>
    <w:semiHidden/>
    <w:rsid w:val="004215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215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215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2158E"/>
    <w:rPr>
      <w:rFonts w:eastAsiaTheme="majorEastAsia" w:cstheme="majorBidi"/>
      <w:color w:val="272727" w:themeColor="text1" w:themeTint="D8"/>
    </w:rPr>
  </w:style>
  <w:style w:type="character" w:customStyle="1" w:styleId="TtuloCar">
    <w:name w:val="Título Car"/>
    <w:basedOn w:val="Fuentedeprrafopredeter"/>
    <w:uiPriority w:val="10"/>
    <w:rsid w:val="0042158E"/>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4215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2158E"/>
    <w:pPr>
      <w:spacing w:before="160"/>
      <w:jc w:val="center"/>
    </w:pPr>
    <w:rPr>
      <w:i/>
      <w:iCs/>
      <w:color w:val="404040" w:themeColor="text1" w:themeTint="BF"/>
    </w:rPr>
  </w:style>
  <w:style w:type="character" w:customStyle="1" w:styleId="CitaCar">
    <w:name w:val="Cita Car"/>
    <w:basedOn w:val="Fuentedeprrafopredeter"/>
    <w:link w:val="Cita"/>
    <w:uiPriority w:val="29"/>
    <w:rsid w:val="0042158E"/>
    <w:rPr>
      <w:i/>
      <w:iCs/>
      <w:color w:val="404040" w:themeColor="text1" w:themeTint="BF"/>
    </w:rPr>
  </w:style>
  <w:style w:type="paragraph" w:styleId="Prrafodelista">
    <w:name w:val="List Paragraph"/>
    <w:basedOn w:val="Normal"/>
    <w:uiPriority w:val="34"/>
    <w:qFormat/>
    <w:rsid w:val="0042158E"/>
    <w:pPr>
      <w:ind w:left="720"/>
      <w:contextualSpacing/>
    </w:pPr>
  </w:style>
  <w:style w:type="character" w:styleId="nfasisintenso">
    <w:name w:val="Intense Emphasis"/>
    <w:basedOn w:val="Fuentedeprrafopredeter"/>
    <w:uiPriority w:val="21"/>
    <w:qFormat/>
    <w:rsid w:val="0042158E"/>
    <w:rPr>
      <w:i/>
      <w:iCs/>
      <w:color w:val="0F4761" w:themeColor="accent1" w:themeShade="BF"/>
    </w:rPr>
  </w:style>
  <w:style w:type="paragraph" w:styleId="Citadestacada">
    <w:name w:val="Intense Quote"/>
    <w:basedOn w:val="Normal"/>
    <w:next w:val="Normal"/>
    <w:link w:val="CitadestacadaCar"/>
    <w:uiPriority w:val="30"/>
    <w:qFormat/>
    <w:rsid w:val="00421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2158E"/>
    <w:rPr>
      <w:i/>
      <w:iCs/>
      <w:color w:val="0F4761" w:themeColor="accent1" w:themeShade="BF"/>
    </w:rPr>
  </w:style>
  <w:style w:type="character" w:styleId="Referenciaintensa">
    <w:name w:val="Intense Reference"/>
    <w:basedOn w:val="Fuentedeprrafopredeter"/>
    <w:uiPriority w:val="32"/>
    <w:qFormat/>
    <w:rsid w:val="0042158E"/>
    <w:rPr>
      <w:b/>
      <w:bCs/>
      <w:smallCaps/>
      <w:color w:val="0F4761" w:themeColor="accent1" w:themeShade="BF"/>
      <w:spacing w:val="5"/>
    </w:rPr>
  </w:style>
  <w:style w:type="paragraph" w:styleId="Textodeglobo">
    <w:name w:val="Balloon Text"/>
    <w:basedOn w:val="Normal"/>
    <w:link w:val="TextodegloboCar"/>
    <w:uiPriority w:val="99"/>
    <w:semiHidden/>
    <w:unhideWhenUsed/>
    <w:rsid w:val="001A012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0121"/>
    <w:rPr>
      <w:rFonts w:ascii="Tahoma" w:eastAsia="Times New Roman" w:hAnsi="Tahoma" w:cs="Tahoma"/>
      <w:kern w:val="0"/>
      <w:sz w:val="16"/>
      <w:szCs w:val="16"/>
      <w:lang w:val="es" w:eastAsia="es-MX"/>
    </w:rPr>
  </w:style>
  <w:style w:type="paragraph" w:styleId="Revisin">
    <w:name w:val="Revision"/>
    <w:hidden/>
    <w:uiPriority w:val="99"/>
    <w:semiHidden/>
    <w:rsid w:val="009129B2"/>
  </w:style>
  <w:style w:type="character" w:styleId="Refdecomentario">
    <w:name w:val="annotation reference"/>
    <w:basedOn w:val="Fuentedeprrafopredeter"/>
    <w:uiPriority w:val="99"/>
    <w:semiHidden/>
    <w:unhideWhenUsed/>
    <w:rsid w:val="007C20F3"/>
    <w:rPr>
      <w:sz w:val="16"/>
      <w:szCs w:val="16"/>
    </w:rPr>
  </w:style>
  <w:style w:type="paragraph" w:styleId="Textocomentario">
    <w:name w:val="annotation text"/>
    <w:basedOn w:val="Normal"/>
    <w:link w:val="TextocomentarioCar"/>
    <w:uiPriority w:val="99"/>
    <w:unhideWhenUsed/>
    <w:rsid w:val="007C20F3"/>
    <w:rPr>
      <w:sz w:val="20"/>
      <w:szCs w:val="20"/>
    </w:rPr>
  </w:style>
  <w:style w:type="character" w:customStyle="1" w:styleId="TextocomentarioCar">
    <w:name w:val="Texto comentario Car"/>
    <w:basedOn w:val="Fuentedeprrafopredeter"/>
    <w:link w:val="Textocomentario"/>
    <w:uiPriority w:val="99"/>
    <w:rsid w:val="007C20F3"/>
    <w:rPr>
      <w:rFonts w:ascii="Times New Roman" w:eastAsia="Times New Roman" w:hAnsi="Times New Roman" w:cs="Times New Roman"/>
      <w:kern w:val="0"/>
      <w:sz w:val="20"/>
      <w:szCs w:val="20"/>
      <w:lang w:val="es" w:eastAsia="es-MX"/>
    </w:rPr>
  </w:style>
  <w:style w:type="paragraph" w:styleId="Asuntodelcomentario">
    <w:name w:val="annotation subject"/>
    <w:basedOn w:val="Textocomentario"/>
    <w:next w:val="Textocomentario"/>
    <w:link w:val="AsuntodelcomentarioCar"/>
    <w:uiPriority w:val="99"/>
    <w:semiHidden/>
    <w:unhideWhenUsed/>
    <w:rsid w:val="007C20F3"/>
    <w:rPr>
      <w:b/>
      <w:bCs/>
    </w:rPr>
  </w:style>
  <w:style w:type="character" w:customStyle="1" w:styleId="AsuntodelcomentarioCar">
    <w:name w:val="Asunto del comentario Car"/>
    <w:basedOn w:val="TextocomentarioCar"/>
    <w:link w:val="Asuntodelcomentario"/>
    <w:uiPriority w:val="99"/>
    <w:semiHidden/>
    <w:rsid w:val="007C20F3"/>
    <w:rPr>
      <w:rFonts w:ascii="Times New Roman" w:eastAsia="Times New Roman" w:hAnsi="Times New Roman" w:cs="Times New Roman"/>
      <w:b/>
      <w:bCs/>
      <w:kern w:val="0"/>
      <w:sz w:val="20"/>
      <w:szCs w:val="20"/>
      <w:lang w:val="es" w:eastAsia="es-MX"/>
    </w:rPr>
  </w:style>
  <w:style w:type="paragraph" w:styleId="Encabezado">
    <w:name w:val="header"/>
    <w:basedOn w:val="Normal"/>
    <w:link w:val="EncabezadoCar"/>
    <w:uiPriority w:val="99"/>
    <w:unhideWhenUsed/>
    <w:rsid w:val="00141E00"/>
    <w:pPr>
      <w:tabs>
        <w:tab w:val="center" w:pos="4419"/>
        <w:tab w:val="right" w:pos="8838"/>
      </w:tabs>
    </w:pPr>
  </w:style>
  <w:style w:type="character" w:customStyle="1" w:styleId="EncabezadoCar">
    <w:name w:val="Encabezado Car"/>
    <w:basedOn w:val="Fuentedeprrafopredeter"/>
    <w:link w:val="Encabezado"/>
    <w:uiPriority w:val="99"/>
    <w:rsid w:val="00141E00"/>
    <w:rPr>
      <w:rFonts w:ascii="Times New Roman" w:eastAsia="Times New Roman" w:hAnsi="Times New Roman" w:cs="Times New Roman"/>
      <w:kern w:val="0"/>
      <w:lang w:val="es" w:eastAsia="es-MX"/>
    </w:rPr>
  </w:style>
  <w:style w:type="paragraph" w:styleId="Piedepgina">
    <w:name w:val="footer"/>
    <w:basedOn w:val="Normal"/>
    <w:link w:val="PiedepginaCar"/>
    <w:uiPriority w:val="99"/>
    <w:unhideWhenUsed/>
    <w:rsid w:val="00141E00"/>
    <w:pPr>
      <w:tabs>
        <w:tab w:val="center" w:pos="4419"/>
        <w:tab w:val="right" w:pos="8838"/>
      </w:tabs>
    </w:pPr>
  </w:style>
  <w:style w:type="character" w:customStyle="1" w:styleId="PiedepginaCar">
    <w:name w:val="Pie de página Car"/>
    <w:basedOn w:val="Fuentedeprrafopredeter"/>
    <w:link w:val="Piedepgina"/>
    <w:uiPriority w:val="99"/>
    <w:rsid w:val="00141E00"/>
    <w:rPr>
      <w:rFonts w:ascii="Times New Roman" w:eastAsia="Times New Roman" w:hAnsi="Times New Roman" w:cs="Times New Roman"/>
      <w:kern w:val="0"/>
      <w:lang w:val="es" w:eastAsia="es-MX"/>
    </w:rPr>
  </w:style>
  <w:style w:type="table" w:customStyle="1" w:styleId="a">
    <w:basedOn w:val="TableNormal0"/>
    <w:tblPr>
      <w:tblStyleRowBandSize w:val="1"/>
      <w:tblStyleColBandSize w:val="1"/>
      <w:tblCellMar>
        <w:top w:w="0" w:type="dxa"/>
        <w:left w:w="70" w:type="dxa"/>
        <w:bottom w:w="0" w:type="dxa"/>
        <w:right w:w="70"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Subttulo">
    <w:name w:val="Subtitle"/>
    <w:basedOn w:val="Normal"/>
    <w:next w:val="Normal"/>
    <w:rPr>
      <w:color w:val="595959"/>
      <w:sz w:val="28"/>
      <w:szCs w:val="28"/>
    </w:r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a7el87zGFJj9Iw88yLVLzVmauQ==">CgMxLjA4AHIhMTZYNjRnM21QTk1mUlBOZ3hxcTg4dDFRSkNER3RLTEFq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3026</Words>
  <Characters>16645</Characters>
  <Application>Microsoft Office Word</Application>
  <DocSecurity>0</DocSecurity>
  <Lines>138</Lines>
  <Paragraphs>39</Paragraphs>
  <ScaleCrop>false</ScaleCrop>
  <Company>SSA</Company>
  <LinksUpToDate>false</LinksUpToDate>
  <CharactersWithSpaces>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Santiago Shalom Martínez Hernández</dc:creator>
  <cp:lastModifiedBy>Francisco Javier Fuentes Armenta</cp:lastModifiedBy>
  <cp:revision>2</cp:revision>
  <dcterms:created xsi:type="dcterms:W3CDTF">2026-09-09T20:20:00Z</dcterms:created>
  <dcterms:modified xsi:type="dcterms:W3CDTF">2026-09-09T20:20:00Z</dcterms:modified>
</cp:coreProperties>
</file>