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776" w:rsidRDefault="000C1776" w:rsidP="004B6DA5">
      <w:pPr>
        <w:jc w:val="both"/>
        <w:rPr>
          <w:rFonts w:ascii="Montserrat Regular" w:hAnsi="Montserrat Regular" w:cs="Times New Roman"/>
          <w:sz w:val="22"/>
          <w:szCs w:val="22"/>
        </w:rPr>
      </w:pPr>
    </w:p>
    <w:p w:rsidR="000C1776" w:rsidRDefault="000C1776" w:rsidP="004B6DA5">
      <w:pPr>
        <w:jc w:val="both"/>
        <w:rPr>
          <w:rFonts w:ascii="Montserrat Regular" w:hAnsi="Montserrat Regular" w:cs="Times New Roman"/>
          <w:sz w:val="22"/>
          <w:szCs w:val="22"/>
        </w:rPr>
      </w:pPr>
    </w:p>
    <w:p w:rsidR="00B77974" w:rsidRDefault="00B77974" w:rsidP="004B6DA5">
      <w:pPr>
        <w:jc w:val="both"/>
        <w:rPr>
          <w:rFonts w:ascii="Montserrat Regular" w:hAnsi="Montserrat Regular" w:cs="Times New Roman"/>
          <w:sz w:val="22"/>
          <w:szCs w:val="22"/>
        </w:rPr>
      </w:pPr>
    </w:p>
    <w:p w:rsidR="00B77974" w:rsidRDefault="00B77974" w:rsidP="004B6DA5">
      <w:pPr>
        <w:jc w:val="both"/>
        <w:rPr>
          <w:rFonts w:ascii="Montserrat Regular" w:hAnsi="Montserrat Regular" w:cs="Times New Roman"/>
          <w:sz w:val="22"/>
          <w:szCs w:val="22"/>
        </w:rPr>
      </w:pPr>
    </w:p>
    <w:p w:rsidR="00B77974" w:rsidRDefault="00B77974" w:rsidP="004B6DA5">
      <w:pPr>
        <w:jc w:val="both"/>
        <w:rPr>
          <w:rFonts w:ascii="Montserrat Regular" w:hAnsi="Montserrat Regular" w:cs="Times New Roman"/>
          <w:sz w:val="22"/>
          <w:szCs w:val="22"/>
        </w:rPr>
      </w:pPr>
    </w:p>
    <w:p w:rsidR="000B15DD" w:rsidRPr="008B59B1" w:rsidRDefault="000B15DD" w:rsidP="000B15DD">
      <w:pPr>
        <w:suppressAutoHyphens/>
        <w:jc w:val="right"/>
        <w:rPr>
          <w:rFonts w:ascii="Arial" w:hAnsi="Arial" w:cs="Arial"/>
          <w:b/>
          <w:noProof/>
          <w:color w:val="000000"/>
          <w:sz w:val="20"/>
          <w:szCs w:val="20"/>
          <w:lang w:eastAsia="es-MX"/>
        </w:rPr>
      </w:pPr>
    </w:p>
    <w:p w:rsidR="000B15DD" w:rsidRPr="008B59B1" w:rsidRDefault="00837532" w:rsidP="000B15DD">
      <w:pPr>
        <w:suppressAutoHyphens/>
        <w:jc w:val="right"/>
        <w:rPr>
          <w:rFonts w:ascii="Montserrat" w:hAnsi="Montserrat" w:cs="Arial"/>
          <w:b/>
          <w:noProof/>
          <w:color w:val="000000"/>
          <w:sz w:val="20"/>
          <w:szCs w:val="20"/>
          <w:lang w:eastAsia="es-MX"/>
        </w:rPr>
      </w:pPr>
      <w:r w:rsidRPr="008B59B1">
        <w:rPr>
          <w:rFonts w:ascii="Montserrat" w:hAnsi="Montserrat" w:cs="Arial"/>
          <w:b/>
          <w:noProof/>
          <w:color w:val="000000"/>
          <w:sz w:val="20"/>
          <w:szCs w:val="20"/>
          <w:lang w:eastAsia="es-MX"/>
        </w:rPr>
        <w:t>3</w:t>
      </w:r>
      <w:r w:rsidR="00066B59" w:rsidRPr="008B59B1">
        <w:rPr>
          <w:rFonts w:ascii="Montserrat" w:hAnsi="Montserrat" w:cs="Arial"/>
          <w:b/>
          <w:noProof/>
          <w:color w:val="000000"/>
          <w:sz w:val="20"/>
          <w:szCs w:val="20"/>
          <w:lang w:eastAsia="es-MX"/>
        </w:rPr>
        <w:t xml:space="preserve"> </w:t>
      </w:r>
      <w:r w:rsidR="000B15DD" w:rsidRPr="008B59B1">
        <w:rPr>
          <w:rFonts w:ascii="Montserrat" w:hAnsi="Montserrat" w:cs="Arial"/>
          <w:b/>
          <w:noProof/>
          <w:color w:val="000000"/>
          <w:sz w:val="20"/>
          <w:szCs w:val="20"/>
          <w:lang w:eastAsia="es-MX"/>
        </w:rPr>
        <w:t xml:space="preserve">de </w:t>
      </w:r>
      <w:r w:rsidRPr="008B59B1">
        <w:rPr>
          <w:rFonts w:ascii="Montserrat" w:hAnsi="Montserrat" w:cs="Arial"/>
          <w:b/>
          <w:noProof/>
          <w:color w:val="000000"/>
          <w:sz w:val="20"/>
          <w:szCs w:val="20"/>
          <w:lang w:eastAsia="es-MX"/>
        </w:rPr>
        <w:t>mayo</w:t>
      </w:r>
      <w:r w:rsidR="000B15DD" w:rsidRPr="008B59B1">
        <w:rPr>
          <w:rFonts w:ascii="Montserrat" w:hAnsi="Montserrat" w:cs="Arial"/>
          <w:b/>
          <w:noProof/>
          <w:color w:val="000000"/>
          <w:sz w:val="20"/>
          <w:szCs w:val="20"/>
          <w:lang w:eastAsia="es-MX"/>
        </w:rPr>
        <w:t xml:space="preserve"> de 202</w:t>
      </w:r>
    </w:p>
    <w:p w:rsidR="008B59B1" w:rsidRPr="008B59B1" w:rsidRDefault="008B59B1" w:rsidP="00066B59">
      <w:pPr>
        <w:suppressAutoHyphens/>
        <w:jc w:val="center"/>
        <w:rPr>
          <w:rFonts w:ascii="Montserrat" w:hAnsi="Montserrat" w:cs="Arial"/>
          <w:b/>
          <w:bCs/>
          <w:sz w:val="20"/>
          <w:szCs w:val="20"/>
        </w:rPr>
      </w:pPr>
    </w:p>
    <w:p w:rsidR="00066B59" w:rsidRPr="008B59B1" w:rsidRDefault="000B15DD" w:rsidP="00066B59">
      <w:pPr>
        <w:suppressAutoHyphens/>
        <w:jc w:val="center"/>
        <w:rPr>
          <w:rFonts w:ascii="Montserrat" w:hAnsi="Montserrat" w:cs="Arial"/>
          <w:b/>
          <w:bCs/>
          <w:sz w:val="20"/>
          <w:szCs w:val="20"/>
        </w:rPr>
      </w:pPr>
      <w:r w:rsidRPr="008B59B1">
        <w:rPr>
          <w:rFonts w:ascii="Montserrat" w:hAnsi="Montserrat" w:cs="Arial"/>
          <w:b/>
          <w:bCs/>
          <w:sz w:val="20"/>
          <w:szCs w:val="20"/>
        </w:rPr>
        <w:t xml:space="preserve">Nota Informativa </w:t>
      </w:r>
    </w:p>
    <w:p w:rsidR="004E793E" w:rsidRPr="008B59B1" w:rsidRDefault="004E793E" w:rsidP="00066B59">
      <w:pPr>
        <w:suppressAutoHyphens/>
        <w:jc w:val="center"/>
        <w:rPr>
          <w:rFonts w:ascii="Montserrat" w:hAnsi="Montserrat" w:cs="Arial"/>
          <w:bCs/>
          <w:sz w:val="20"/>
          <w:szCs w:val="20"/>
        </w:rPr>
      </w:pPr>
    </w:p>
    <w:p w:rsidR="000B15DD" w:rsidRPr="008B59B1" w:rsidRDefault="000B15DD" w:rsidP="000B15DD">
      <w:pPr>
        <w:jc w:val="both"/>
        <w:rPr>
          <w:rFonts w:ascii="Montserrat" w:hAnsi="Montserrat" w:cs="Arial"/>
          <w:b/>
          <w:bCs/>
          <w:sz w:val="20"/>
          <w:szCs w:val="20"/>
        </w:rPr>
      </w:pPr>
      <w:r w:rsidRPr="008B59B1">
        <w:rPr>
          <w:rFonts w:ascii="Montserrat" w:hAnsi="Montserrat" w:cs="Arial"/>
          <w:bCs/>
          <w:sz w:val="20"/>
          <w:szCs w:val="20"/>
        </w:rPr>
        <w:t>Para:</w:t>
      </w:r>
      <w:r w:rsidRPr="008B59B1">
        <w:rPr>
          <w:rFonts w:ascii="Montserrat" w:hAnsi="Montserrat" w:cs="Arial"/>
          <w:bCs/>
          <w:sz w:val="20"/>
          <w:szCs w:val="20"/>
        </w:rPr>
        <w:tab/>
      </w:r>
      <w:r w:rsidR="004E793E" w:rsidRPr="008B59B1">
        <w:rPr>
          <w:rFonts w:ascii="Montserrat" w:hAnsi="Montserrat" w:cs="Arial"/>
          <w:b/>
          <w:bCs/>
          <w:sz w:val="20"/>
          <w:szCs w:val="20"/>
        </w:rPr>
        <w:t>Lic. Alejandra Fabiola Sánchez Ortíz</w:t>
      </w:r>
      <w:r w:rsidR="004B5821" w:rsidRPr="008B59B1">
        <w:rPr>
          <w:rFonts w:ascii="Montserrat" w:hAnsi="Montserrat" w:cs="Arial"/>
          <w:b/>
          <w:bCs/>
          <w:sz w:val="20"/>
          <w:szCs w:val="20"/>
        </w:rPr>
        <w:t xml:space="preserve"> </w:t>
      </w:r>
    </w:p>
    <w:p w:rsidR="004E793E" w:rsidRPr="008B59B1" w:rsidRDefault="004E793E" w:rsidP="000B15DD">
      <w:pPr>
        <w:ind w:firstLine="708"/>
        <w:jc w:val="both"/>
        <w:rPr>
          <w:rFonts w:ascii="Montserrat" w:hAnsi="Montserrat" w:cs="Arial"/>
          <w:bCs/>
          <w:sz w:val="20"/>
          <w:szCs w:val="20"/>
        </w:rPr>
      </w:pPr>
      <w:r w:rsidRPr="008B59B1">
        <w:rPr>
          <w:rFonts w:ascii="Montserrat" w:hAnsi="Montserrat" w:cs="Arial"/>
          <w:bCs/>
          <w:sz w:val="20"/>
          <w:szCs w:val="20"/>
        </w:rPr>
        <w:t xml:space="preserve">Titular de la División de Planeación y </w:t>
      </w:r>
    </w:p>
    <w:p w:rsidR="004E793E" w:rsidRPr="008B59B1" w:rsidRDefault="004E793E" w:rsidP="004E793E">
      <w:pPr>
        <w:ind w:firstLine="708"/>
        <w:jc w:val="both"/>
        <w:rPr>
          <w:rFonts w:ascii="Montserrat" w:hAnsi="Montserrat" w:cs="Arial"/>
          <w:bCs/>
          <w:sz w:val="20"/>
          <w:szCs w:val="20"/>
        </w:rPr>
      </w:pPr>
      <w:r w:rsidRPr="008B59B1">
        <w:rPr>
          <w:rFonts w:ascii="Montserrat" w:hAnsi="Montserrat" w:cs="Arial"/>
          <w:bCs/>
          <w:sz w:val="20"/>
          <w:szCs w:val="20"/>
        </w:rPr>
        <w:t>Seguimiento Presupuestal</w:t>
      </w:r>
    </w:p>
    <w:p w:rsidR="000B15DD" w:rsidRPr="008B59B1" w:rsidRDefault="000B15DD" w:rsidP="000B15DD">
      <w:pPr>
        <w:ind w:right="33"/>
        <w:jc w:val="both"/>
        <w:rPr>
          <w:rFonts w:ascii="Montserrat" w:hAnsi="Montserrat" w:cs="Arial"/>
          <w:bCs/>
          <w:sz w:val="20"/>
          <w:szCs w:val="20"/>
        </w:rPr>
      </w:pPr>
    </w:p>
    <w:p w:rsidR="000B15DD" w:rsidRPr="008B59B1" w:rsidRDefault="000B15DD" w:rsidP="000B15DD">
      <w:pPr>
        <w:ind w:right="33"/>
        <w:jc w:val="both"/>
        <w:rPr>
          <w:rFonts w:ascii="Montserrat" w:hAnsi="Montserrat" w:cs="Arial"/>
          <w:bCs/>
          <w:sz w:val="20"/>
          <w:szCs w:val="20"/>
        </w:rPr>
      </w:pPr>
      <w:r w:rsidRPr="008B59B1">
        <w:rPr>
          <w:rFonts w:ascii="Montserrat" w:hAnsi="Montserrat" w:cs="Arial"/>
          <w:bCs/>
          <w:sz w:val="20"/>
          <w:szCs w:val="20"/>
        </w:rPr>
        <w:t>De:</w:t>
      </w:r>
      <w:r w:rsidRPr="008B59B1">
        <w:rPr>
          <w:rFonts w:ascii="Montserrat" w:hAnsi="Montserrat" w:cs="Arial"/>
          <w:bCs/>
          <w:sz w:val="20"/>
          <w:szCs w:val="20"/>
        </w:rPr>
        <w:tab/>
      </w:r>
      <w:r w:rsidR="004E793E" w:rsidRPr="008B59B1">
        <w:rPr>
          <w:rFonts w:ascii="Montserrat" w:hAnsi="Montserrat" w:cs="Arial"/>
          <w:b/>
          <w:bCs/>
          <w:sz w:val="20"/>
          <w:szCs w:val="20"/>
        </w:rPr>
        <w:t>Lic</w:t>
      </w:r>
      <w:r w:rsidRPr="008B59B1">
        <w:rPr>
          <w:rFonts w:ascii="Montserrat" w:hAnsi="Montserrat" w:cs="Arial"/>
          <w:b/>
          <w:bCs/>
          <w:sz w:val="20"/>
          <w:szCs w:val="20"/>
        </w:rPr>
        <w:t xml:space="preserve">. </w:t>
      </w:r>
      <w:r w:rsidR="004E793E" w:rsidRPr="008B59B1">
        <w:rPr>
          <w:rFonts w:ascii="Montserrat" w:hAnsi="Montserrat" w:cs="Arial"/>
          <w:b/>
          <w:bCs/>
          <w:sz w:val="20"/>
          <w:szCs w:val="20"/>
        </w:rPr>
        <w:t>Martha Guadalupe Pineda Ríos</w:t>
      </w:r>
    </w:p>
    <w:tbl>
      <w:tblPr>
        <w:tblStyle w:val="Tablaconcuadrcula"/>
        <w:tblW w:w="0" w:type="auto"/>
        <w:tblInd w:w="675" w:type="dxa"/>
        <w:tblLook w:val="04A0" w:firstRow="1" w:lastRow="0" w:firstColumn="1" w:lastColumn="0" w:noHBand="0" w:noVBand="1"/>
      </w:tblPr>
      <w:tblGrid>
        <w:gridCol w:w="4253"/>
      </w:tblGrid>
      <w:tr w:rsidR="00277422" w:rsidRPr="008B59B1" w:rsidTr="00425A77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277422" w:rsidRPr="008B59B1" w:rsidRDefault="00DF075E" w:rsidP="004E793E">
            <w:pPr>
              <w:jc w:val="both"/>
              <w:rPr>
                <w:rFonts w:ascii="Montserrat" w:eastAsiaTheme="minorEastAsia" w:hAnsi="Montserrat"/>
                <w:bCs/>
                <w:sz w:val="20"/>
                <w:szCs w:val="20"/>
                <w:lang w:val="es-ES_tradnl"/>
              </w:rPr>
            </w:pPr>
            <w:r w:rsidRPr="008B59B1">
              <w:rPr>
                <w:rFonts w:ascii="Montserrat" w:hAnsi="Montserrat" w:cs="Arial"/>
                <w:bCs/>
                <w:sz w:val="20"/>
                <w:szCs w:val="20"/>
              </w:rPr>
              <w:t xml:space="preserve">Titular de la </w:t>
            </w:r>
            <w:r w:rsidR="004E793E" w:rsidRPr="008B59B1">
              <w:rPr>
                <w:rFonts w:ascii="Montserrat" w:hAnsi="Montserrat" w:cs="Arial"/>
                <w:bCs/>
                <w:sz w:val="20"/>
                <w:szCs w:val="20"/>
              </w:rPr>
              <w:t>Coordinación Técnica de Administración de Activos</w:t>
            </w:r>
          </w:p>
        </w:tc>
      </w:tr>
    </w:tbl>
    <w:p w:rsidR="00066B59" w:rsidRPr="008B59B1" w:rsidRDefault="00066B59" w:rsidP="000B15DD">
      <w:pPr>
        <w:pStyle w:val="Textoindependiente"/>
        <w:widowControl w:val="0"/>
        <w:tabs>
          <w:tab w:val="left" w:pos="0"/>
        </w:tabs>
        <w:suppressAutoHyphens/>
        <w:ind w:right="48"/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</w:p>
    <w:p w:rsidR="00066B59" w:rsidRPr="008B59B1" w:rsidRDefault="00837532" w:rsidP="00837532">
      <w:pPr>
        <w:pStyle w:val="Textoindependiente"/>
        <w:widowControl w:val="0"/>
        <w:tabs>
          <w:tab w:val="left" w:pos="0"/>
        </w:tabs>
        <w:suppressAutoHyphens/>
        <w:ind w:right="48"/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  <w:r w:rsidRPr="008B59B1">
        <w:rPr>
          <w:rFonts w:ascii="Montserrat" w:eastAsiaTheme="minorEastAsia" w:hAnsi="Montserrat"/>
          <w:b/>
          <w:bCs/>
          <w:sz w:val="20"/>
          <w:szCs w:val="20"/>
          <w:lang w:val="es-ES_tradnl" w:eastAsia="en-US"/>
        </w:rPr>
        <w:t>Asunto:</w:t>
      </w:r>
      <w:r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 A</w:t>
      </w:r>
      <w:r w:rsidR="00951D51"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nteproyecto de P</w:t>
      </w:r>
      <w:r w:rsidR="004E793E"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resupuesto 2022</w:t>
      </w:r>
      <w:r w:rsidR="00F2231B"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 de la partida de arrendamiento de inmuebles</w:t>
      </w:r>
      <w:r w:rsidR="004E793E"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, correspondiente a </w:t>
      </w:r>
      <w:r w:rsidR="00AD46F2"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los Órganos de Operación Administrativa Desconcentrada (OOAD)</w:t>
      </w:r>
      <w:r w:rsidR="004E793E"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.</w:t>
      </w:r>
    </w:p>
    <w:p w:rsidR="004E793E" w:rsidRPr="008B59B1" w:rsidRDefault="004E793E" w:rsidP="00066B59">
      <w:pPr>
        <w:pStyle w:val="Textoindependiente"/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</w:p>
    <w:p w:rsidR="00951D51" w:rsidRPr="008B59B1" w:rsidRDefault="00951D51" w:rsidP="00066B59">
      <w:pPr>
        <w:pStyle w:val="Textoindependiente"/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  <w:r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En atención al correo electrónico del pasado 21 de abril de 2021, mediante el cual se solicita se validen</w:t>
      </w:r>
      <w:r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, rectifiquen y/o determinen las cifras del anteproyecto en devengo y flujo de efectivo</w:t>
      </w:r>
      <w:r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 del Anteproyecto de Presupuesto 2022, de las partidas competencia de cada área normativa</w:t>
      </w:r>
      <w:r w:rsidR="00AC32C9"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 adscrita a la Coordinación de Conservación y Servicios Generales</w:t>
      </w:r>
      <w:r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, determinadas y remitidas por los OOAD, comunic</w:t>
      </w:r>
      <w:r w:rsidR="00AC32C9"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o</w:t>
      </w:r>
      <w:r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 a usted que esta Coordinación Técnica a mi c</w:t>
      </w:r>
      <w:r w:rsidR="00AC32C9"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argo, realizó el correspondiente análisis</w:t>
      </w:r>
      <w:r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, de manera particular a la partida de  “Arrendamiento de Inmuebles”, de lo que </w:t>
      </w:r>
      <w:r w:rsidR="00AC32C9"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se desprende lo siguiente:</w:t>
      </w:r>
    </w:p>
    <w:p w:rsidR="00AC32C9" w:rsidRPr="008B59B1" w:rsidRDefault="00AC32C9" w:rsidP="00066B59">
      <w:pPr>
        <w:pStyle w:val="Textoindependiente"/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</w:p>
    <w:p w:rsidR="008B59B1" w:rsidRPr="008B59B1" w:rsidRDefault="00493141" w:rsidP="008B59B1">
      <w:pPr>
        <w:pStyle w:val="Textoindependiente"/>
        <w:ind w:left="360"/>
        <w:rPr>
          <w:rFonts w:ascii="Montserrat" w:eastAsiaTheme="minorEastAsia" w:hAnsi="Montserrat"/>
          <w:b/>
          <w:bCs/>
          <w:sz w:val="20"/>
          <w:szCs w:val="20"/>
          <w:lang w:val="es-ES_tradnl" w:eastAsia="en-US"/>
        </w:rPr>
      </w:pPr>
      <w:r>
        <w:rPr>
          <w:rFonts w:ascii="Montserrat" w:eastAsiaTheme="minorEastAsia" w:hAnsi="Montserrat"/>
          <w:b/>
          <w:bCs/>
          <w:sz w:val="20"/>
          <w:szCs w:val="20"/>
          <w:lang w:val="es-ES_tradnl" w:eastAsia="en-US"/>
        </w:rPr>
        <w:t>Arrendamiento Inmobiliario</w:t>
      </w:r>
    </w:p>
    <w:p w:rsidR="008B59B1" w:rsidRPr="008B59B1" w:rsidRDefault="008B59B1" w:rsidP="00066B59">
      <w:pPr>
        <w:pStyle w:val="Textoindependiente"/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</w:p>
    <w:p w:rsidR="004E793E" w:rsidRPr="008B59B1" w:rsidRDefault="00AC32C9" w:rsidP="00066B59">
      <w:pPr>
        <w:pStyle w:val="Textoindependiente"/>
        <w:numPr>
          <w:ilvl w:val="0"/>
          <w:numId w:val="10"/>
        </w:numPr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  <w:r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Ú</w:t>
      </w:r>
      <w:r w:rsidR="00AD46F2"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nicamente</w:t>
      </w:r>
      <w:r w:rsidR="00012F7A"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 </w:t>
      </w:r>
      <w:r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el OOAD Estatal </w:t>
      </w:r>
      <w:r w:rsidR="00AD46F2"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Michoacán </w:t>
      </w:r>
      <w:r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cumplió con el envío de su proyección para el ejercicio 2022 de la partida </w:t>
      </w:r>
      <w:r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42061302</w:t>
      </w:r>
      <w:r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.</w:t>
      </w:r>
    </w:p>
    <w:p w:rsidR="00AC32C9" w:rsidRPr="008B59B1" w:rsidRDefault="00AC32C9" w:rsidP="00AC32C9">
      <w:pPr>
        <w:pStyle w:val="Textoindependiente"/>
        <w:ind w:left="720"/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</w:p>
    <w:p w:rsidR="00AC32C9" w:rsidRPr="008B59B1" w:rsidRDefault="00AC32C9" w:rsidP="00AC32C9">
      <w:pPr>
        <w:pStyle w:val="Textoindependiente"/>
        <w:ind w:left="720"/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  <w:r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De la información presentada se observa que el presupuesto pr</w:t>
      </w:r>
      <w:r w:rsidR="00C50CDB"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oyectado por el OOAD es menor al estimado por la División de Arrendamiento y Comercialización (DAC) adscrita a esta Coordinación Técnica, manteniéndose en el Anteproyecto general de esta partida el monto considerado por la DAC.</w:t>
      </w:r>
    </w:p>
    <w:p w:rsidR="004E793E" w:rsidRPr="008B59B1" w:rsidRDefault="004E793E" w:rsidP="00066B59">
      <w:pPr>
        <w:pStyle w:val="Textoindependiente"/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</w:p>
    <w:p w:rsidR="00AD46F2" w:rsidRPr="008B59B1" w:rsidRDefault="00C50CDB" w:rsidP="00C50CDB">
      <w:pPr>
        <w:pStyle w:val="Textoindependiente"/>
        <w:numPr>
          <w:ilvl w:val="0"/>
          <w:numId w:val="10"/>
        </w:numPr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  <w:r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Para el ejercicio 2022, en los OOAD, se tiene proyectado </w:t>
      </w:r>
      <w:r w:rsidR="00B31E28"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contar con</w:t>
      </w:r>
      <w:r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 </w:t>
      </w:r>
      <w:r w:rsidR="00AD46F2"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284 inmuebles en arrendamiento</w:t>
      </w:r>
      <w:r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, y se estima ejercer un presupuesto de 305.9 millones de pesos, </w:t>
      </w:r>
      <w:r w:rsidR="00B31E28"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de acuerdo a lo</w:t>
      </w:r>
      <w:r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 siguiente:</w:t>
      </w:r>
    </w:p>
    <w:p w:rsidR="00B31E28" w:rsidRPr="008B59B1" w:rsidRDefault="00B31E28" w:rsidP="00B31E28">
      <w:pPr>
        <w:pStyle w:val="Textoindependiente"/>
        <w:ind w:left="720"/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</w:p>
    <w:tbl>
      <w:tblPr>
        <w:tblStyle w:val="Cuadrculaclara-nfasis2"/>
        <w:tblpPr w:leftFromText="141" w:rightFromText="141" w:vertAnchor="text" w:horzAnchor="margin" w:tblpXSpec="center" w:tblpY="8"/>
        <w:tblW w:w="6487" w:type="dxa"/>
        <w:tblLook w:val="04A0" w:firstRow="1" w:lastRow="0" w:firstColumn="1" w:lastColumn="0" w:noHBand="0" w:noVBand="1"/>
      </w:tblPr>
      <w:tblGrid>
        <w:gridCol w:w="2798"/>
        <w:gridCol w:w="1417"/>
        <w:gridCol w:w="2361"/>
      </w:tblGrid>
      <w:tr w:rsidR="00C50CDB" w:rsidRPr="00C50CDB" w:rsidTr="00B31E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hideMark/>
          </w:tcPr>
          <w:p w:rsidR="00C50CDB" w:rsidRPr="00C50CDB" w:rsidRDefault="00C50CDB" w:rsidP="00C50CDB">
            <w:pPr>
              <w:jc w:val="center"/>
              <w:rPr>
                <w:rFonts w:ascii="Arial" w:eastAsia="Times New Roman" w:hAnsi="Arial" w:cs="Arial"/>
                <w:b w:val="0"/>
                <w:bCs w:val="0"/>
                <w:sz w:val="16"/>
                <w:szCs w:val="16"/>
                <w:lang w:val="es-MX" w:eastAsia="es-MX"/>
              </w:rPr>
            </w:pPr>
            <w:r w:rsidRPr="00C50CDB">
              <w:rPr>
                <w:rFonts w:ascii="Arial" w:eastAsia="Times New Roman" w:hAnsi="Arial" w:cs="Arial"/>
                <w:sz w:val="16"/>
                <w:szCs w:val="16"/>
                <w:lang w:val="es-MX" w:eastAsia="es-MX"/>
              </w:rPr>
              <w:t xml:space="preserve">Figura </w:t>
            </w:r>
          </w:p>
        </w:tc>
        <w:tc>
          <w:tcPr>
            <w:tcW w:w="1328" w:type="dxa"/>
            <w:hideMark/>
          </w:tcPr>
          <w:p w:rsidR="00C50CDB" w:rsidRDefault="00C50CDB" w:rsidP="00C50C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16"/>
                <w:szCs w:val="16"/>
                <w:lang w:val="es-MX" w:eastAsia="es-MX"/>
              </w:rPr>
            </w:pPr>
            <w:r w:rsidRPr="00C50CDB">
              <w:rPr>
                <w:rFonts w:ascii="Arial" w:eastAsia="Times New Roman" w:hAnsi="Arial" w:cs="Arial"/>
                <w:sz w:val="16"/>
                <w:szCs w:val="16"/>
                <w:lang w:val="es-MX" w:eastAsia="es-MX"/>
              </w:rPr>
              <w:t>Número</w:t>
            </w:r>
          </w:p>
          <w:p w:rsidR="00C50CDB" w:rsidRPr="00B31E28" w:rsidRDefault="00C50CDB" w:rsidP="00C50C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sz w:val="16"/>
                <w:szCs w:val="16"/>
                <w:lang w:val="es-MX" w:eastAsia="es-MX"/>
              </w:rPr>
            </w:pPr>
            <w:r w:rsidRPr="00B31E28">
              <w:rPr>
                <w:rFonts w:ascii="Arial" w:eastAsia="Times New Roman" w:hAnsi="Arial" w:cs="Arial"/>
                <w:bCs w:val="0"/>
                <w:sz w:val="16"/>
                <w:szCs w:val="16"/>
                <w:lang w:val="es-MX" w:eastAsia="es-MX"/>
              </w:rPr>
              <w:t>de arrendamientos</w:t>
            </w:r>
          </w:p>
        </w:tc>
        <w:tc>
          <w:tcPr>
            <w:tcW w:w="2361" w:type="dxa"/>
            <w:noWrap/>
            <w:hideMark/>
          </w:tcPr>
          <w:p w:rsidR="00C50CDB" w:rsidRPr="00B31E28" w:rsidRDefault="00C50CDB" w:rsidP="00C50C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sz w:val="16"/>
                <w:szCs w:val="16"/>
                <w:lang w:val="es-MX" w:eastAsia="es-MX"/>
              </w:rPr>
            </w:pPr>
            <w:r w:rsidRPr="00B31E28">
              <w:rPr>
                <w:rFonts w:ascii="Arial" w:eastAsia="Times New Roman" w:hAnsi="Arial" w:cs="Arial"/>
                <w:bCs w:val="0"/>
                <w:sz w:val="16"/>
                <w:szCs w:val="16"/>
                <w:lang w:val="es-MX" w:eastAsia="es-MX"/>
              </w:rPr>
              <w:t>Monto a ejercer</w:t>
            </w:r>
          </w:p>
          <w:p w:rsidR="00C50CDB" w:rsidRPr="00C50CDB" w:rsidRDefault="00C50CDB" w:rsidP="00C50C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12"/>
                <w:szCs w:val="12"/>
                <w:lang w:val="es-MX" w:eastAsia="es-MX"/>
              </w:rPr>
            </w:pPr>
            <w:r w:rsidRPr="00B31E28">
              <w:rPr>
                <w:rFonts w:ascii="Arial" w:eastAsia="Times New Roman" w:hAnsi="Arial" w:cs="Arial"/>
                <w:bCs w:val="0"/>
                <w:sz w:val="12"/>
                <w:szCs w:val="12"/>
                <w:lang w:val="es-MX" w:eastAsia="es-MX"/>
              </w:rPr>
              <w:t>(pesos)</w:t>
            </w:r>
          </w:p>
        </w:tc>
      </w:tr>
      <w:tr w:rsidR="00B31E28" w:rsidRPr="00C50CDB" w:rsidTr="00B31E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hideMark/>
          </w:tcPr>
          <w:p w:rsidR="00C50CDB" w:rsidRPr="00C50CDB" w:rsidRDefault="00C50CDB" w:rsidP="00B31E28">
            <w:pPr>
              <w:rPr>
                <w:rFonts w:ascii="Arial" w:eastAsia="Times New Roman" w:hAnsi="Arial" w:cs="Arial"/>
                <w:b w:val="0"/>
                <w:bCs w:val="0"/>
                <w:sz w:val="16"/>
                <w:szCs w:val="16"/>
                <w:lang w:val="es-MX" w:eastAsia="es-MX"/>
              </w:rPr>
            </w:pPr>
            <w:r w:rsidRPr="00C50CDB">
              <w:rPr>
                <w:rFonts w:ascii="Arial" w:eastAsia="Times New Roman" w:hAnsi="Arial" w:cs="Arial"/>
                <w:sz w:val="16"/>
                <w:szCs w:val="16"/>
                <w:lang w:val="es-MX" w:eastAsia="es-MX"/>
              </w:rPr>
              <w:t>Renovación Con Incremento</w:t>
            </w:r>
          </w:p>
        </w:tc>
        <w:tc>
          <w:tcPr>
            <w:tcW w:w="1328" w:type="dxa"/>
            <w:hideMark/>
          </w:tcPr>
          <w:p w:rsidR="00C50CDB" w:rsidRPr="00C50CDB" w:rsidRDefault="00C50CDB" w:rsidP="00C50C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MX" w:eastAsia="es-MX"/>
              </w:rPr>
            </w:pPr>
            <w:r w:rsidRPr="00C50CD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MX" w:eastAsia="es-MX"/>
              </w:rPr>
              <w:t>112</w:t>
            </w:r>
          </w:p>
        </w:tc>
        <w:tc>
          <w:tcPr>
            <w:tcW w:w="2361" w:type="dxa"/>
            <w:noWrap/>
            <w:hideMark/>
          </w:tcPr>
          <w:p w:rsidR="00C50CDB" w:rsidRPr="00C50CDB" w:rsidRDefault="00C50CDB" w:rsidP="00C50C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MX" w:eastAsia="es-MX"/>
              </w:rPr>
            </w:pPr>
            <w:r w:rsidRPr="00C50CD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MX" w:eastAsia="es-MX"/>
              </w:rPr>
              <w:t xml:space="preserve">            158,124,072.18 </w:t>
            </w:r>
          </w:p>
        </w:tc>
      </w:tr>
      <w:tr w:rsidR="00B31E28" w:rsidRPr="00C50CDB" w:rsidTr="00B31E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hideMark/>
          </w:tcPr>
          <w:p w:rsidR="00C50CDB" w:rsidRPr="00C50CDB" w:rsidRDefault="00C50CDB" w:rsidP="00B31E28">
            <w:pPr>
              <w:rPr>
                <w:rFonts w:ascii="Arial" w:eastAsia="Times New Roman" w:hAnsi="Arial" w:cs="Arial"/>
                <w:b w:val="0"/>
                <w:bCs w:val="0"/>
                <w:sz w:val="16"/>
                <w:szCs w:val="16"/>
                <w:lang w:val="es-MX" w:eastAsia="es-MX"/>
              </w:rPr>
            </w:pPr>
            <w:r w:rsidRPr="00C50CDB">
              <w:rPr>
                <w:rFonts w:ascii="Arial" w:eastAsia="Times New Roman" w:hAnsi="Arial" w:cs="Arial"/>
                <w:sz w:val="16"/>
                <w:szCs w:val="16"/>
                <w:lang w:val="es-MX" w:eastAsia="es-MX"/>
              </w:rPr>
              <w:t>Renovación Sin Incremento</w:t>
            </w:r>
          </w:p>
        </w:tc>
        <w:tc>
          <w:tcPr>
            <w:tcW w:w="1328" w:type="dxa"/>
            <w:hideMark/>
          </w:tcPr>
          <w:p w:rsidR="00C50CDB" w:rsidRPr="00C50CDB" w:rsidRDefault="00C50CDB" w:rsidP="00C50CD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MX" w:eastAsia="es-MX"/>
              </w:rPr>
            </w:pPr>
            <w:r w:rsidRPr="00C50CD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MX" w:eastAsia="es-MX"/>
              </w:rPr>
              <w:t>83</w:t>
            </w:r>
          </w:p>
        </w:tc>
        <w:tc>
          <w:tcPr>
            <w:tcW w:w="2361" w:type="dxa"/>
            <w:hideMark/>
          </w:tcPr>
          <w:p w:rsidR="00C50CDB" w:rsidRPr="00C50CDB" w:rsidRDefault="00C50CDB" w:rsidP="00C50CD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MX" w:eastAsia="es-MX"/>
              </w:rPr>
            </w:pPr>
            <w:r w:rsidRPr="00C50CD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MX" w:eastAsia="es-MX"/>
              </w:rPr>
              <w:t xml:space="preserve">              91,557,943.20 </w:t>
            </w:r>
          </w:p>
        </w:tc>
      </w:tr>
      <w:tr w:rsidR="00B31E28" w:rsidRPr="00C50CDB" w:rsidTr="00B31E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noWrap/>
            <w:hideMark/>
          </w:tcPr>
          <w:p w:rsidR="00C50CDB" w:rsidRPr="00C50CDB" w:rsidRDefault="00C50CDB" w:rsidP="00B31E28">
            <w:pPr>
              <w:rPr>
                <w:rFonts w:ascii="Arial" w:eastAsia="Times New Roman" w:hAnsi="Arial" w:cs="Arial"/>
                <w:b w:val="0"/>
                <w:bCs w:val="0"/>
                <w:sz w:val="16"/>
                <w:szCs w:val="16"/>
                <w:lang w:val="es-MX" w:eastAsia="es-MX"/>
              </w:rPr>
            </w:pPr>
            <w:r w:rsidRPr="00C50CDB">
              <w:rPr>
                <w:rFonts w:ascii="Arial" w:eastAsia="Times New Roman" w:hAnsi="Arial" w:cs="Arial"/>
                <w:sz w:val="16"/>
                <w:szCs w:val="16"/>
                <w:lang w:val="es-MX" w:eastAsia="es-MX"/>
              </w:rPr>
              <w:t>Nuevo Arrendamiento</w:t>
            </w:r>
          </w:p>
        </w:tc>
        <w:tc>
          <w:tcPr>
            <w:tcW w:w="1328" w:type="dxa"/>
            <w:noWrap/>
            <w:hideMark/>
          </w:tcPr>
          <w:p w:rsidR="00C50CDB" w:rsidRPr="00C50CDB" w:rsidRDefault="00C50CDB" w:rsidP="00C50C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MX" w:eastAsia="es-MX"/>
              </w:rPr>
            </w:pPr>
            <w:r w:rsidRPr="00C50CD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MX" w:eastAsia="es-MX"/>
              </w:rPr>
              <w:t>4</w:t>
            </w:r>
          </w:p>
        </w:tc>
        <w:tc>
          <w:tcPr>
            <w:tcW w:w="2361" w:type="dxa"/>
            <w:noWrap/>
            <w:hideMark/>
          </w:tcPr>
          <w:p w:rsidR="00C50CDB" w:rsidRPr="00C50CDB" w:rsidRDefault="00C50CDB" w:rsidP="00C50C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MX" w:eastAsia="es-MX"/>
              </w:rPr>
            </w:pPr>
            <w:r w:rsidRPr="00C50CD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MX" w:eastAsia="es-MX"/>
              </w:rPr>
              <w:t xml:space="preserve">              14,472,512.64 </w:t>
            </w:r>
          </w:p>
        </w:tc>
      </w:tr>
      <w:tr w:rsidR="00B31E28" w:rsidRPr="00C50CDB" w:rsidTr="00B31E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noWrap/>
            <w:hideMark/>
          </w:tcPr>
          <w:p w:rsidR="00C50CDB" w:rsidRPr="00C50CDB" w:rsidRDefault="00C50CDB" w:rsidP="00B31E28">
            <w:pPr>
              <w:rPr>
                <w:rFonts w:ascii="Arial" w:eastAsia="Times New Roman" w:hAnsi="Arial" w:cs="Arial"/>
                <w:b w:val="0"/>
                <w:bCs w:val="0"/>
                <w:sz w:val="16"/>
                <w:szCs w:val="16"/>
                <w:lang w:val="es-MX" w:eastAsia="es-MX"/>
              </w:rPr>
            </w:pPr>
            <w:r w:rsidRPr="00C50CDB">
              <w:rPr>
                <w:rFonts w:ascii="Arial" w:eastAsia="Times New Roman" w:hAnsi="Arial" w:cs="Arial"/>
                <w:sz w:val="16"/>
                <w:szCs w:val="16"/>
                <w:lang w:val="es-MX" w:eastAsia="es-MX"/>
              </w:rPr>
              <w:t>Sustitución</w:t>
            </w:r>
          </w:p>
        </w:tc>
        <w:tc>
          <w:tcPr>
            <w:tcW w:w="1328" w:type="dxa"/>
            <w:noWrap/>
            <w:hideMark/>
          </w:tcPr>
          <w:p w:rsidR="00C50CDB" w:rsidRPr="00C50CDB" w:rsidRDefault="00C50CDB" w:rsidP="00C50CD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MX" w:eastAsia="es-MX"/>
              </w:rPr>
            </w:pPr>
            <w:r w:rsidRPr="00C50CD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MX" w:eastAsia="es-MX"/>
              </w:rPr>
              <w:t>80</w:t>
            </w:r>
          </w:p>
        </w:tc>
        <w:tc>
          <w:tcPr>
            <w:tcW w:w="2361" w:type="dxa"/>
            <w:noWrap/>
            <w:hideMark/>
          </w:tcPr>
          <w:p w:rsidR="00C50CDB" w:rsidRPr="00C50CDB" w:rsidRDefault="00C50CDB" w:rsidP="00C50CD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MX" w:eastAsia="es-MX"/>
              </w:rPr>
            </w:pPr>
            <w:r w:rsidRPr="00C50CD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MX" w:eastAsia="es-MX"/>
              </w:rPr>
              <w:t xml:space="preserve">              39,622,030.54 </w:t>
            </w:r>
          </w:p>
        </w:tc>
      </w:tr>
      <w:tr w:rsidR="00B31E28" w:rsidRPr="00C50CDB" w:rsidTr="00B31E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noWrap/>
            <w:hideMark/>
          </w:tcPr>
          <w:p w:rsidR="00C50CDB" w:rsidRPr="00C50CDB" w:rsidRDefault="00C50CDB" w:rsidP="00B31E28">
            <w:pPr>
              <w:rPr>
                <w:rFonts w:ascii="Arial" w:eastAsia="Times New Roman" w:hAnsi="Arial" w:cs="Arial"/>
                <w:b w:val="0"/>
                <w:bCs w:val="0"/>
                <w:sz w:val="16"/>
                <w:szCs w:val="16"/>
                <w:lang w:val="es-MX" w:eastAsia="es-MX"/>
              </w:rPr>
            </w:pPr>
            <w:r w:rsidRPr="00C50CDB">
              <w:rPr>
                <w:rFonts w:ascii="Arial" w:eastAsia="Times New Roman" w:hAnsi="Arial" w:cs="Arial"/>
                <w:sz w:val="16"/>
                <w:szCs w:val="16"/>
                <w:lang w:val="es-MX" w:eastAsia="es-MX"/>
              </w:rPr>
              <w:t>Cancelación</w:t>
            </w:r>
          </w:p>
        </w:tc>
        <w:tc>
          <w:tcPr>
            <w:tcW w:w="1328" w:type="dxa"/>
            <w:noWrap/>
            <w:hideMark/>
          </w:tcPr>
          <w:p w:rsidR="00C50CDB" w:rsidRPr="00C50CDB" w:rsidRDefault="00C50CDB" w:rsidP="00C50C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MX" w:eastAsia="es-MX"/>
              </w:rPr>
            </w:pPr>
            <w:r w:rsidRPr="00C50CD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MX" w:eastAsia="es-MX"/>
              </w:rPr>
              <w:t>5</w:t>
            </w:r>
          </w:p>
        </w:tc>
        <w:tc>
          <w:tcPr>
            <w:tcW w:w="2361" w:type="dxa"/>
            <w:noWrap/>
            <w:hideMark/>
          </w:tcPr>
          <w:p w:rsidR="00C50CDB" w:rsidRPr="00C50CDB" w:rsidRDefault="00C50CDB" w:rsidP="00C50C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MX" w:eastAsia="es-MX"/>
              </w:rPr>
            </w:pPr>
            <w:r w:rsidRPr="00C50CD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MX" w:eastAsia="es-MX"/>
              </w:rPr>
              <w:t xml:space="preserve">                2,118,910.89 </w:t>
            </w:r>
          </w:p>
        </w:tc>
      </w:tr>
      <w:tr w:rsidR="00B31E28" w:rsidRPr="00C50CDB" w:rsidTr="00B31E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8" w:type="dxa"/>
            <w:noWrap/>
            <w:hideMark/>
          </w:tcPr>
          <w:p w:rsidR="00C50CDB" w:rsidRPr="00C50CDB" w:rsidRDefault="00C50CDB" w:rsidP="00C50CDB">
            <w:pPr>
              <w:jc w:val="center"/>
              <w:rPr>
                <w:rFonts w:ascii="Arial" w:eastAsia="Times New Roman" w:hAnsi="Arial" w:cs="Arial"/>
                <w:b w:val="0"/>
                <w:bCs w:val="0"/>
                <w:sz w:val="16"/>
                <w:szCs w:val="16"/>
                <w:lang w:val="es-MX" w:eastAsia="es-MX"/>
              </w:rPr>
            </w:pPr>
            <w:r w:rsidRPr="00C50CDB">
              <w:rPr>
                <w:rFonts w:ascii="Arial" w:eastAsia="Times New Roman" w:hAnsi="Arial" w:cs="Arial"/>
                <w:sz w:val="16"/>
                <w:szCs w:val="16"/>
                <w:lang w:val="es-MX" w:eastAsia="es-MX"/>
              </w:rPr>
              <w:t>Total</w:t>
            </w:r>
          </w:p>
        </w:tc>
        <w:tc>
          <w:tcPr>
            <w:tcW w:w="1328" w:type="dxa"/>
            <w:noWrap/>
            <w:hideMark/>
          </w:tcPr>
          <w:p w:rsidR="00C50CDB" w:rsidRPr="00C50CDB" w:rsidRDefault="00C50CDB" w:rsidP="00C50CD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MX" w:eastAsia="es-MX"/>
              </w:rPr>
            </w:pPr>
            <w:r w:rsidRPr="00C50CD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MX" w:eastAsia="es-MX"/>
              </w:rPr>
              <w:t>284</w:t>
            </w:r>
          </w:p>
        </w:tc>
        <w:tc>
          <w:tcPr>
            <w:tcW w:w="2361" w:type="dxa"/>
            <w:noWrap/>
            <w:hideMark/>
          </w:tcPr>
          <w:p w:rsidR="00C50CDB" w:rsidRPr="00C50CDB" w:rsidRDefault="00C50CDB" w:rsidP="00C50CD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MX" w:eastAsia="es-MX"/>
              </w:rPr>
            </w:pPr>
            <w:r w:rsidRPr="00C50CD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MX" w:eastAsia="es-MX"/>
              </w:rPr>
              <w:t xml:space="preserve">            305,895,469.45 </w:t>
            </w:r>
          </w:p>
        </w:tc>
      </w:tr>
    </w:tbl>
    <w:p w:rsidR="00AD46F2" w:rsidRDefault="00AD46F2" w:rsidP="00066B59">
      <w:pPr>
        <w:pStyle w:val="Textoindependiente"/>
        <w:rPr>
          <w:rFonts w:ascii="Montserrat" w:eastAsiaTheme="minorEastAsia" w:hAnsi="Montserrat"/>
          <w:bCs/>
          <w:sz w:val="22"/>
          <w:szCs w:val="22"/>
          <w:lang w:val="es-ES_tradnl" w:eastAsia="en-US"/>
        </w:rPr>
      </w:pPr>
    </w:p>
    <w:p w:rsidR="00AD46F2" w:rsidRDefault="00AD46F2" w:rsidP="00066B59">
      <w:pPr>
        <w:pStyle w:val="Textoindependiente"/>
        <w:rPr>
          <w:rFonts w:ascii="Montserrat" w:eastAsiaTheme="minorEastAsia" w:hAnsi="Montserrat"/>
          <w:bCs/>
          <w:sz w:val="22"/>
          <w:szCs w:val="22"/>
          <w:lang w:val="es-ES_tradnl" w:eastAsia="en-US"/>
        </w:rPr>
      </w:pPr>
    </w:p>
    <w:p w:rsidR="00544674" w:rsidRDefault="00544674" w:rsidP="00066B59">
      <w:pPr>
        <w:pStyle w:val="Textoindependiente"/>
        <w:rPr>
          <w:rFonts w:ascii="Montserrat" w:eastAsiaTheme="minorEastAsia" w:hAnsi="Montserrat"/>
          <w:bCs/>
          <w:sz w:val="22"/>
          <w:szCs w:val="22"/>
          <w:lang w:val="es-ES_tradnl" w:eastAsia="en-US"/>
        </w:rPr>
      </w:pPr>
    </w:p>
    <w:p w:rsidR="00544674" w:rsidRDefault="00544674" w:rsidP="00066B59">
      <w:pPr>
        <w:pStyle w:val="Textoindependiente"/>
        <w:rPr>
          <w:rFonts w:ascii="Montserrat" w:eastAsiaTheme="minorEastAsia" w:hAnsi="Montserrat"/>
          <w:bCs/>
          <w:sz w:val="22"/>
          <w:szCs w:val="22"/>
          <w:lang w:val="es-ES_tradnl" w:eastAsia="en-US"/>
        </w:rPr>
      </w:pPr>
    </w:p>
    <w:p w:rsidR="00544674" w:rsidRDefault="00544674" w:rsidP="00066B59">
      <w:pPr>
        <w:pStyle w:val="Textoindependiente"/>
        <w:rPr>
          <w:rFonts w:ascii="Montserrat" w:eastAsiaTheme="minorEastAsia" w:hAnsi="Montserrat"/>
          <w:bCs/>
          <w:sz w:val="22"/>
          <w:szCs w:val="22"/>
          <w:lang w:val="es-ES_tradnl" w:eastAsia="en-US"/>
        </w:rPr>
      </w:pPr>
    </w:p>
    <w:p w:rsidR="00544674" w:rsidRDefault="00544674" w:rsidP="00066B59">
      <w:pPr>
        <w:pStyle w:val="Textoindependiente"/>
        <w:rPr>
          <w:rFonts w:ascii="Montserrat" w:eastAsiaTheme="minorEastAsia" w:hAnsi="Montserrat"/>
          <w:bCs/>
          <w:sz w:val="22"/>
          <w:szCs w:val="22"/>
          <w:lang w:val="es-ES_tradnl" w:eastAsia="en-US"/>
        </w:rPr>
      </w:pPr>
    </w:p>
    <w:p w:rsidR="00544674" w:rsidRDefault="00544674" w:rsidP="00066B59">
      <w:pPr>
        <w:pStyle w:val="Textoindependiente"/>
        <w:rPr>
          <w:rFonts w:ascii="Montserrat" w:eastAsiaTheme="minorEastAsia" w:hAnsi="Montserrat"/>
          <w:bCs/>
          <w:sz w:val="22"/>
          <w:szCs w:val="22"/>
          <w:lang w:val="es-ES_tradnl" w:eastAsia="en-US"/>
        </w:rPr>
      </w:pPr>
    </w:p>
    <w:p w:rsidR="00544674" w:rsidRDefault="00544674" w:rsidP="00066B59">
      <w:pPr>
        <w:pStyle w:val="Textoindependiente"/>
        <w:rPr>
          <w:rFonts w:ascii="Montserrat" w:eastAsiaTheme="minorEastAsia" w:hAnsi="Montserrat"/>
          <w:bCs/>
          <w:sz w:val="22"/>
          <w:szCs w:val="22"/>
          <w:lang w:val="es-ES_tradnl" w:eastAsia="en-US"/>
        </w:rPr>
      </w:pPr>
    </w:p>
    <w:p w:rsidR="00544674" w:rsidRDefault="00544674" w:rsidP="00066B59">
      <w:pPr>
        <w:pStyle w:val="Textoindependiente"/>
        <w:rPr>
          <w:rFonts w:ascii="Montserrat" w:eastAsiaTheme="minorEastAsia" w:hAnsi="Montserrat"/>
          <w:bCs/>
          <w:sz w:val="22"/>
          <w:szCs w:val="22"/>
          <w:lang w:val="es-ES_tradnl" w:eastAsia="en-US"/>
        </w:rPr>
      </w:pPr>
    </w:p>
    <w:p w:rsidR="00544674" w:rsidRPr="008B59B1" w:rsidRDefault="00544674" w:rsidP="00066B59">
      <w:pPr>
        <w:pStyle w:val="Textoindependiente"/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</w:p>
    <w:p w:rsidR="00B36F3F" w:rsidRDefault="00B36F3F" w:rsidP="00066B59">
      <w:pPr>
        <w:pStyle w:val="Textoindependiente"/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</w:p>
    <w:p w:rsidR="008B59B1" w:rsidRDefault="008B59B1" w:rsidP="00066B59">
      <w:pPr>
        <w:pStyle w:val="Textoindependiente"/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</w:p>
    <w:p w:rsidR="008B59B1" w:rsidRDefault="008B59B1" w:rsidP="00066B59">
      <w:pPr>
        <w:pStyle w:val="Textoindependiente"/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</w:p>
    <w:p w:rsidR="008B59B1" w:rsidRDefault="008B59B1" w:rsidP="00066B59">
      <w:pPr>
        <w:pStyle w:val="Textoindependiente"/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</w:p>
    <w:p w:rsidR="008B59B1" w:rsidRDefault="008B59B1" w:rsidP="00066B59">
      <w:pPr>
        <w:pStyle w:val="Textoindependiente"/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</w:p>
    <w:p w:rsidR="008B59B1" w:rsidRPr="008B59B1" w:rsidRDefault="008B59B1" w:rsidP="008B59B1">
      <w:pPr>
        <w:pStyle w:val="Textoindependiente"/>
        <w:numPr>
          <w:ilvl w:val="0"/>
          <w:numId w:val="10"/>
        </w:numPr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  <w:r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Para el </w:t>
      </w:r>
      <w:r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anteproyecto 2022 considera un </w:t>
      </w:r>
      <w:r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incremento del </w:t>
      </w:r>
      <w:r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15% a las figuras que se encuentren </w:t>
      </w:r>
      <w:r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actualmente </w:t>
      </w:r>
      <w:r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en proceso de sustitución y un 10% para aquellas que se consideran como renovaciones con incremento, esto sujeto a </w:t>
      </w:r>
      <w:r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la</w:t>
      </w:r>
      <w:r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 integración de los expedientes por parte de los OOAD.</w:t>
      </w:r>
    </w:p>
    <w:p w:rsidR="008B59B1" w:rsidRPr="008B59B1" w:rsidRDefault="008B59B1" w:rsidP="008B59B1">
      <w:pPr>
        <w:pStyle w:val="Textoindependiente"/>
        <w:ind w:left="720"/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</w:p>
    <w:p w:rsidR="004F3828" w:rsidRDefault="008B59B1" w:rsidP="008B59B1">
      <w:pPr>
        <w:pStyle w:val="Textoindependiente"/>
        <w:numPr>
          <w:ilvl w:val="0"/>
          <w:numId w:val="10"/>
        </w:numPr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  <w:r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Para el caso de las </w:t>
      </w:r>
      <w:r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sustituciones</w:t>
      </w:r>
      <w:r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,</w:t>
      </w:r>
      <w:r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 los montos máximos a pagar determina</w:t>
      </w:r>
      <w:r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dos</w:t>
      </w:r>
      <w:r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 </w:t>
      </w:r>
      <w:r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por </w:t>
      </w:r>
      <w:r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el INDAABIN, resultan superiores al importe </w:t>
      </w:r>
      <w:r w:rsid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efectivamente </w:t>
      </w:r>
      <w:r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pagado</w:t>
      </w:r>
      <w:r w:rsid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, ya que se logra negociar montos rentas menores.</w:t>
      </w:r>
    </w:p>
    <w:p w:rsidR="004F3828" w:rsidRDefault="004F3828" w:rsidP="004F3828">
      <w:pPr>
        <w:pStyle w:val="Textoindependiente"/>
        <w:ind w:left="720"/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</w:p>
    <w:p w:rsidR="004F3828" w:rsidRDefault="004F3828" w:rsidP="004F3828">
      <w:pPr>
        <w:pStyle w:val="Textoindependiente"/>
        <w:numPr>
          <w:ilvl w:val="0"/>
          <w:numId w:val="10"/>
        </w:numPr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  <w:r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En cuanto a </w:t>
      </w:r>
      <w:r w:rsidR="008B59B1"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las renovaciones con incremento, </w:t>
      </w:r>
      <w:r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es de destacarse que la mayoría de los inmuebles considerados en estas figuras tienen </w:t>
      </w:r>
      <w:r w:rsidR="008B59B1"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entre 5 a 10 años</w:t>
      </w:r>
      <w:r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 de habérseles otorgado algún incremento</w:t>
      </w:r>
      <w:r w:rsidR="008B59B1"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, </w:t>
      </w:r>
      <w:r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siempre vigilando en</w:t>
      </w:r>
      <w:r w:rsidR="008B59B1" w:rsidRPr="008B59B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 no rebasar los montos de los dictámenes de Justipreciación de Renta Tradicional o electrónico que emite el Sistema de Avalúos del INDAABIN.</w:t>
      </w:r>
    </w:p>
    <w:p w:rsidR="004F3828" w:rsidRDefault="004F3828" w:rsidP="004F3828">
      <w:pPr>
        <w:pStyle w:val="Textoindependiente"/>
        <w:ind w:left="720"/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</w:p>
    <w:p w:rsidR="004F3828" w:rsidRDefault="00B31E28" w:rsidP="004F3828">
      <w:pPr>
        <w:pStyle w:val="Textoindependiente"/>
        <w:numPr>
          <w:ilvl w:val="0"/>
          <w:numId w:val="10"/>
        </w:numPr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  <w:r w:rsidRP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Por otra parte, en lo que compete a Nivel Central, se tienen arrendados cinco inmuebles</w:t>
      </w:r>
      <w:r w:rsidR="008B59B1" w:rsidRP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 apara oficinas administrativas</w:t>
      </w:r>
      <w:r w:rsidRP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, que de acuerdo a la </w:t>
      </w:r>
      <w:r w:rsidRP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información remitida a esa División a su cargo el pasado 29 de abril de 2021</w:t>
      </w:r>
      <w:r w:rsidR="008B59B1" w:rsidRP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,</w:t>
      </w:r>
      <w:r w:rsidRP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 </w:t>
      </w:r>
      <w:r w:rsidRP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el presupuesto a ejercer en el 2022 será del orden de los </w:t>
      </w:r>
      <w:r w:rsidRP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80.5 </w:t>
      </w:r>
      <w:r w:rsidRP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millones de pesos.</w:t>
      </w:r>
    </w:p>
    <w:p w:rsidR="004F3828" w:rsidRDefault="004F3828" w:rsidP="004F3828">
      <w:pPr>
        <w:pStyle w:val="Textoindependiente"/>
        <w:ind w:left="720"/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</w:p>
    <w:p w:rsidR="00AD46F2" w:rsidRPr="004F3828" w:rsidRDefault="008B59B1" w:rsidP="004F3828">
      <w:pPr>
        <w:pStyle w:val="Textoindependiente"/>
        <w:numPr>
          <w:ilvl w:val="0"/>
          <w:numId w:val="10"/>
        </w:numPr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  <w:r w:rsidRP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De esta manera, se estima </w:t>
      </w:r>
      <w:r w:rsid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que el Anteproyecto de Presupuesto d</w:t>
      </w:r>
      <w:r w:rsidR="00786DFE" w:rsidRP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el Programa </w:t>
      </w:r>
      <w:r w:rsidRP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de Arrendamiento Inmobiliario del IMSS para para el ejercicio 2022, </w:t>
      </w:r>
      <w:r w:rsid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ascenderá a </w:t>
      </w:r>
      <w:r w:rsidR="00544674" w:rsidRP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386.4 </w:t>
      </w:r>
      <w:r w:rsidRP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millones de pesos</w:t>
      </w:r>
      <w:r w:rsid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, con un total de </w:t>
      </w:r>
      <w:r w:rsidR="004F3828" w:rsidRP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con </w:t>
      </w:r>
      <w:r w:rsid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289 inmuebles</w:t>
      </w:r>
      <w:r w:rsidRP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.</w:t>
      </w:r>
    </w:p>
    <w:p w:rsidR="008B59B1" w:rsidRDefault="008B59B1" w:rsidP="00B31E28">
      <w:pPr>
        <w:pStyle w:val="Textoindependiente"/>
        <w:ind w:left="720"/>
        <w:rPr>
          <w:rFonts w:ascii="Montserrat" w:eastAsiaTheme="minorEastAsia" w:hAnsi="Montserrat"/>
          <w:bCs/>
          <w:sz w:val="22"/>
          <w:szCs w:val="22"/>
          <w:lang w:val="es-ES_tradnl" w:eastAsia="en-US"/>
        </w:rPr>
      </w:pPr>
    </w:p>
    <w:p w:rsidR="00012F7A" w:rsidRPr="004F3828" w:rsidRDefault="004F3828" w:rsidP="008B59B1">
      <w:pPr>
        <w:pStyle w:val="Textoindependiente"/>
        <w:ind w:left="360"/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  <w:r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Finalmente, no se omite mencionar que</w:t>
      </w:r>
      <w:r w:rsidR="00544674" w:rsidRP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 l</w:t>
      </w:r>
      <w:r w:rsidR="00277E12" w:rsidRP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as figuras consideradas en la cuenta </w:t>
      </w:r>
      <w:r w:rsidR="004E793E" w:rsidRP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42061302 “Arrendamiento de Inmuebles”</w:t>
      </w:r>
      <w:r w:rsidR="00277E12" w:rsidRP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, </w:t>
      </w:r>
      <w:r w:rsidR="00B36F3F" w:rsidRP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son </w:t>
      </w:r>
      <w:r w:rsidR="00D11642" w:rsidRP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con </w:t>
      </w:r>
      <w:r w:rsidR="00277E12" w:rsidRP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base </w:t>
      </w:r>
      <w:r w:rsidR="00D11642" w:rsidRP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a la información del </w:t>
      </w:r>
      <w:r w:rsidR="00277E12" w:rsidRP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Padrón Inmobiliario a cargo de la DAC</w:t>
      </w:r>
      <w:r w:rsidR="00D11642" w:rsidRP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; sin embargo,</w:t>
      </w:r>
      <w:r w:rsidR="007A3B7D" w:rsidRP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 </w:t>
      </w:r>
      <w:r w:rsidR="00B36F3F" w:rsidRP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al cierre del mes de agosto, los OOAD remite</w:t>
      </w:r>
      <w:r w:rsidR="007A3B7D" w:rsidRP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n</w:t>
      </w:r>
      <w:r w:rsidR="00B36F3F" w:rsidRP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 su proyección </w:t>
      </w:r>
      <w:r w:rsidR="007A3B7D" w:rsidRP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de presupuesto para el año siguiente, el cual es revisado, analizado y presentado </w:t>
      </w:r>
      <w:r w:rsidR="00D11642" w:rsidRP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en los meses de octubre-noviembre </w:t>
      </w:r>
      <w:r w:rsidR="007A3B7D" w:rsidRP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ante el H. Consejo Técnico para su aprobación como el Programa de Arrendamiento Inmobiliario IMSS-Arrendatario Régimen Ordinario para el siguiente ejercicio fiscal</w:t>
      </w:r>
      <w:r w:rsidR="00277E12" w:rsidRPr="004F3828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.</w:t>
      </w:r>
    </w:p>
    <w:p w:rsidR="007F3513" w:rsidRDefault="007F3513" w:rsidP="004F3828">
      <w:pPr>
        <w:pStyle w:val="Textoindependiente"/>
        <w:ind w:left="720"/>
        <w:rPr>
          <w:rFonts w:ascii="Montserrat" w:eastAsiaTheme="minorEastAsia" w:hAnsi="Montserrat"/>
          <w:bCs/>
          <w:sz w:val="22"/>
          <w:szCs w:val="22"/>
          <w:lang w:val="es-ES_tradnl" w:eastAsia="en-US"/>
        </w:rPr>
      </w:pPr>
    </w:p>
    <w:p w:rsidR="00493141" w:rsidRDefault="00493141" w:rsidP="004F3828">
      <w:pPr>
        <w:pStyle w:val="Textoindependiente"/>
        <w:ind w:left="720"/>
        <w:rPr>
          <w:rFonts w:ascii="Montserrat" w:eastAsiaTheme="minorEastAsia" w:hAnsi="Montserrat"/>
          <w:bCs/>
          <w:sz w:val="22"/>
          <w:szCs w:val="22"/>
          <w:lang w:val="es-ES_tradnl" w:eastAsia="en-US"/>
        </w:rPr>
      </w:pPr>
    </w:p>
    <w:p w:rsidR="00493141" w:rsidRPr="00493141" w:rsidRDefault="00493141" w:rsidP="00493141">
      <w:pPr>
        <w:pStyle w:val="Textoindependiente"/>
        <w:ind w:left="360"/>
        <w:rPr>
          <w:rFonts w:ascii="Montserrat" w:eastAsiaTheme="minorEastAsia" w:hAnsi="Montserrat"/>
          <w:b/>
          <w:bCs/>
          <w:sz w:val="20"/>
          <w:szCs w:val="20"/>
          <w:lang w:val="es-ES_tradnl" w:eastAsia="en-US"/>
        </w:rPr>
      </w:pPr>
      <w:r>
        <w:rPr>
          <w:rFonts w:ascii="Montserrat" w:eastAsiaTheme="minorEastAsia" w:hAnsi="Montserrat"/>
          <w:b/>
          <w:bCs/>
          <w:sz w:val="20"/>
          <w:szCs w:val="20"/>
          <w:lang w:val="es-ES_tradnl" w:eastAsia="en-US"/>
        </w:rPr>
        <w:t>P</w:t>
      </w:r>
      <w:r w:rsidRPr="00493141">
        <w:rPr>
          <w:rFonts w:ascii="Montserrat" w:eastAsiaTheme="minorEastAsia" w:hAnsi="Montserrat"/>
          <w:b/>
          <w:bCs/>
          <w:sz w:val="20"/>
          <w:szCs w:val="20"/>
          <w:lang w:val="es-ES_tradnl" w:eastAsia="en-US"/>
        </w:rPr>
        <w:t>artidas Administradas por la Coordinación Técnica de Administración de Activos.</w:t>
      </w:r>
    </w:p>
    <w:p w:rsidR="00493141" w:rsidRPr="00493141" w:rsidRDefault="00493141" w:rsidP="004F3828">
      <w:pPr>
        <w:pStyle w:val="Textoindependiente"/>
        <w:ind w:left="720"/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</w:p>
    <w:p w:rsidR="00493141" w:rsidRPr="00493141" w:rsidRDefault="00493141" w:rsidP="004F3828">
      <w:pPr>
        <w:pStyle w:val="Textoindependiente"/>
        <w:ind w:left="720"/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</w:p>
    <w:p w:rsidR="00AE147F" w:rsidRPr="00493141" w:rsidRDefault="00D11642" w:rsidP="00493141">
      <w:pPr>
        <w:pStyle w:val="Textoindependiente"/>
        <w:numPr>
          <w:ilvl w:val="0"/>
          <w:numId w:val="11"/>
        </w:numPr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  <w:r w:rsidRPr="0049314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En lo referente a las cuentas </w:t>
      </w:r>
      <w:r w:rsidR="002F4AD5" w:rsidRPr="0049314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42062404 “Avalúos y justipreciación”</w:t>
      </w:r>
      <w:r w:rsidRPr="0049314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 y 4</w:t>
      </w:r>
      <w:r w:rsidR="00EB774D" w:rsidRPr="0049314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2062405 “Servicios profesionales”</w:t>
      </w:r>
      <w:r w:rsidRPr="0049314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, </w:t>
      </w:r>
      <w:r w:rsidR="00AE147F" w:rsidRPr="0049314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se considera mantener </w:t>
      </w:r>
      <w:r w:rsidR="0049314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para el ejercicio</w:t>
      </w:r>
      <w:r w:rsidR="00493141" w:rsidRPr="0049314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 de 2022</w:t>
      </w:r>
      <w:r w:rsidR="0049314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 (anteproyecto de presupuesto)</w:t>
      </w:r>
      <w:r w:rsidR="00493141" w:rsidRPr="0049314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, el </w:t>
      </w:r>
      <w:r w:rsidR="00AE147F" w:rsidRPr="0049314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importe autorizado </w:t>
      </w:r>
      <w:r w:rsidR="0049314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para</w:t>
      </w:r>
      <w:r w:rsidR="00AE147F" w:rsidRPr="0049314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 el ejercicio 2021</w:t>
      </w:r>
      <w:r w:rsidR="0049314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, de 18.5 y 6.2, respectivamente. Es importante mencionar </w:t>
      </w:r>
      <w:r w:rsidRPr="0049314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que </w:t>
      </w:r>
      <w:r w:rsidR="0049314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estos </w:t>
      </w:r>
      <w:r w:rsidRPr="0049314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recursos son concentrados en cuentas de Nivel Central, los cuales </w:t>
      </w:r>
      <w:r w:rsidR="00277E12" w:rsidRPr="0049314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s</w:t>
      </w:r>
      <w:r w:rsidR="00837532" w:rsidRPr="0049314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e </w:t>
      </w:r>
      <w:r w:rsidR="00277E12" w:rsidRPr="0049314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aplican </w:t>
      </w:r>
      <w:r w:rsidR="00837532" w:rsidRPr="0049314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en caso de proceder a la revisión e </w:t>
      </w:r>
      <w:r w:rsidR="00277E12" w:rsidRPr="0049314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integración de los expedientes para tanto para avalúos y justipreciación; </w:t>
      </w:r>
      <w:r w:rsidRPr="0049314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así como </w:t>
      </w:r>
      <w:r w:rsidR="00277E12" w:rsidRPr="0049314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en lo referente a los servicios profesionales </w:t>
      </w:r>
      <w:r w:rsidRPr="0049314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destinado </w:t>
      </w:r>
      <w:r w:rsidR="00277E12" w:rsidRPr="0049314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para </w:t>
      </w:r>
      <w:r w:rsidRPr="0049314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la </w:t>
      </w:r>
      <w:r w:rsidR="00277E12" w:rsidRPr="0049314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operación inmobiliaria</w:t>
      </w:r>
      <w:r w:rsidRPr="00493141"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 xml:space="preserve"> de los OOAD.</w:t>
      </w:r>
    </w:p>
    <w:p w:rsidR="00493141" w:rsidRDefault="00493141" w:rsidP="00493141">
      <w:pPr>
        <w:pStyle w:val="Textoindependiente"/>
        <w:ind w:left="720"/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</w:p>
    <w:p w:rsidR="00493141" w:rsidRDefault="00493141" w:rsidP="00493141">
      <w:pPr>
        <w:pStyle w:val="Textoindependiente"/>
        <w:ind w:left="720"/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</w:p>
    <w:p w:rsidR="00493141" w:rsidRDefault="00493141" w:rsidP="00493141">
      <w:pPr>
        <w:pStyle w:val="Textoindependiente"/>
        <w:ind w:left="720"/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</w:p>
    <w:p w:rsidR="00493141" w:rsidRDefault="00493141" w:rsidP="00493141">
      <w:pPr>
        <w:pStyle w:val="Textoindependiente"/>
        <w:ind w:left="720"/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</w:p>
    <w:p w:rsidR="00493141" w:rsidRDefault="00493141" w:rsidP="00493141">
      <w:pPr>
        <w:pStyle w:val="Textoindependiente"/>
        <w:ind w:left="720"/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</w:p>
    <w:p w:rsidR="00493141" w:rsidRDefault="00493141" w:rsidP="00493141">
      <w:pPr>
        <w:pStyle w:val="Textoindependiente"/>
        <w:ind w:left="720"/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</w:p>
    <w:p w:rsidR="00493141" w:rsidRDefault="00493141" w:rsidP="00493141">
      <w:pPr>
        <w:pStyle w:val="Textoindependiente"/>
        <w:ind w:left="720"/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</w:p>
    <w:p w:rsidR="00493141" w:rsidRDefault="00493141" w:rsidP="00493141">
      <w:pPr>
        <w:pStyle w:val="Textoindependiente"/>
        <w:ind w:left="720"/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</w:p>
    <w:p w:rsidR="00493141" w:rsidRPr="00493141" w:rsidRDefault="00493141" w:rsidP="00493141">
      <w:pPr>
        <w:pStyle w:val="Textoindependiente"/>
        <w:ind w:left="720"/>
        <w:rPr>
          <w:rFonts w:ascii="Montserrat" w:eastAsiaTheme="minorEastAsia" w:hAnsi="Montserrat"/>
          <w:bCs/>
          <w:sz w:val="20"/>
          <w:szCs w:val="20"/>
          <w:lang w:val="es-ES_tradnl" w:eastAsia="en-US"/>
        </w:rPr>
      </w:pPr>
      <w:r>
        <w:rPr>
          <w:rFonts w:ascii="Montserrat" w:eastAsiaTheme="minorEastAsia" w:hAnsi="Montserrat"/>
          <w:bCs/>
          <w:sz w:val="20"/>
          <w:szCs w:val="20"/>
          <w:lang w:val="es-ES_tradnl" w:eastAsia="en-US"/>
        </w:rPr>
        <w:t>Atentamente</w:t>
      </w:r>
      <w:bookmarkStart w:id="0" w:name="_GoBack"/>
      <w:bookmarkEnd w:id="0"/>
    </w:p>
    <w:sectPr w:rsidR="00493141" w:rsidRPr="00493141" w:rsidSect="009202FC">
      <w:headerReference w:type="default" r:id="rId12"/>
      <w:footerReference w:type="default" r:id="rId13"/>
      <w:pgSz w:w="12240" w:h="15840"/>
      <w:pgMar w:top="1418" w:right="1077" w:bottom="1418" w:left="107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28FD" w:rsidRDefault="000F28FD" w:rsidP="00B4228A">
      <w:r>
        <w:separator/>
      </w:r>
    </w:p>
  </w:endnote>
  <w:endnote w:type="continuationSeparator" w:id="0">
    <w:p w:rsidR="000F28FD" w:rsidRDefault="000F28FD" w:rsidP="00B42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 Medium">
    <w:altName w:val="Courier New"/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tserrat">
    <w:altName w:val="Montserrat Medium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ontserrat Regular">
    <w:altName w:val="Courier New"/>
    <w:panose1 w:val="00000500000000000000"/>
    <w:charset w:val="00"/>
    <w:family w:val="auto"/>
    <w:pitch w:val="variable"/>
    <w:sig w:usb0="00000001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ED2" w:rsidRDefault="001E3ED2">
    <w:pPr>
      <w:pStyle w:val="Piedepgina"/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2F5504" wp14:editId="56DD6FCA">
              <wp:simplePos x="0" y="0"/>
              <wp:positionH relativeFrom="column">
                <wp:posOffset>124028</wp:posOffset>
              </wp:positionH>
              <wp:positionV relativeFrom="paragraph">
                <wp:posOffset>-368935</wp:posOffset>
              </wp:positionV>
              <wp:extent cx="7596505" cy="1403985"/>
              <wp:effectExtent l="0" t="0" r="0" b="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9650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3ED2" w:rsidRPr="001B45F5" w:rsidRDefault="00B43A85" w:rsidP="001E3ED2">
                          <w:pP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Tokio </w:t>
                          </w:r>
                          <w:r w:rsidR="001E3ED2"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No. </w:t>
                          </w: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104</w:t>
                          </w:r>
                          <w:r w:rsidR="001E3ED2"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, </w:t>
                          </w: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4</w:t>
                          </w:r>
                          <w:r w:rsidR="009202FC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° Piso</w:t>
                          </w: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, Juárez, </w:t>
                          </w:r>
                          <w:r w:rsidR="001E3ED2"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Alcaldía Cuauhtémoc, C. P. 06</w:t>
                          </w: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6</w:t>
                          </w:r>
                          <w:r w:rsidR="001E3ED2"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00, CDMX. Tel. (55) 5238 2700, Ext. </w:t>
                          </w:r>
                          <w:r w:rsidR="009202FC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1</w:t>
                          </w: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1548</w:t>
                          </w:r>
                          <w:r w:rsidR="001E3ED2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             </w:t>
                          </w:r>
                          <w:r w:rsidR="001E3ED2"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 www.</w:t>
                          </w:r>
                          <w:r w:rsidR="00DA408D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imss.gob.mx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9.75pt;margin-top:-29.05pt;width:598.1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" filled="f" stroked="f">
              <v:textbox style="mso-fit-shape-to-text:t">
                <w:txbxContent>
                  <w:p w:rsidR="001E3ED2" w:rsidRPr="001B45F5" w:rsidRDefault="00B43A85" w:rsidP="001E3ED2">
                    <w:pP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</w:pP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Tokio </w:t>
                    </w:r>
                    <w:r w:rsidR="001E3ED2"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No. </w:t>
                    </w: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104</w:t>
                    </w:r>
                    <w:r w:rsidR="001E3ED2"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, </w:t>
                    </w: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4</w:t>
                    </w:r>
                    <w:r w:rsidR="009202FC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° Piso</w:t>
                    </w: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, Juárez, </w:t>
                    </w:r>
                    <w:r w:rsidR="001E3ED2"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Alcaldía Cuauhtémoc, C. P. 06</w:t>
                    </w: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6</w:t>
                    </w:r>
                    <w:r w:rsidR="001E3ED2"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00, CDMX. Tel. (55) 5238 2700, Ext. </w:t>
                    </w:r>
                    <w:r w:rsidR="009202FC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1</w:t>
                    </w: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1548</w:t>
                    </w:r>
                    <w:r w:rsidR="001E3ED2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             </w:t>
                    </w:r>
                    <w:r w:rsidR="001E3ED2"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 www.</w:t>
                    </w:r>
                    <w:r w:rsidR="00DA408D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imss.gob.mx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28FD" w:rsidRDefault="000F28FD" w:rsidP="00B4228A">
      <w:r>
        <w:separator/>
      </w:r>
    </w:p>
  </w:footnote>
  <w:footnote w:type="continuationSeparator" w:id="0">
    <w:p w:rsidR="000F28FD" w:rsidRDefault="000F28FD" w:rsidP="00B422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1A49" w:rsidRDefault="00B77974" w:rsidP="001E3ED2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8239" behindDoc="0" locked="0" layoutInCell="1" allowOverlap="1" wp14:anchorId="1CA4BBB2" wp14:editId="76C14E50">
          <wp:simplePos x="0" y="0"/>
          <wp:positionH relativeFrom="column">
            <wp:posOffset>-675801</wp:posOffset>
          </wp:positionH>
          <wp:positionV relativeFrom="paragraph">
            <wp:posOffset>-185420</wp:posOffset>
          </wp:positionV>
          <wp:extent cx="7759065" cy="10106025"/>
          <wp:effectExtent l="0" t="0" r="0" b="9525"/>
          <wp:wrapNone/>
          <wp:docPr id="8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_ORG-DESCENTRALIZADO_HOJA-MEMBRETADA_2021_PLANTILLA  F_membreatda_carta_esquem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9065" cy="10106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2257C"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0E64B2B" wp14:editId="4DDEB76B">
              <wp:simplePos x="0" y="0"/>
              <wp:positionH relativeFrom="column">
                <wp:posOffset>1724025</wp:posOffset>
              </wp:positionH>
              <wp:positionV relativeFrom="paragraph">
                <wp:posOffset>583565</wp:posOffset>
              </wp:positionV>
              <wp:extent cx="3479800" cy="620395"/>
              <wp:effectExtent l="0" t="0" r="0" b="8255"/>
              <wp:wrapSquare wrapText="bothSides"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79800" cy="620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C5915" w:rsidRPr="00C0299D" w:rsidRDefault="003C5915" w:rsidP="003C5915">
                          <w:pPr>
                            <w:jc w:val="right"/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</w:pPr>
                          <w:r w:rsidRPr="00C0299D"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  <w:t xml:space="preserve"> DIRECCIÓN DE </w:t>
                          </w:r>
                          <w:r w:rsidR="00131525"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  <w:t>ADMINISTRACIÓN</w:t>
                          </w:r>
                          <w:r w:rsidRPr="00C0299D"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  <w:p w:rsidR="00131525" w:rsidRDefault="00131525" w:rsidP="00131525">
                          <w:pPr>
                            <w:jc w:val="right"/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  <w:t>Unidad de Administración</w:t>
                          </w:r>
                        </w:p>
                        <w:p w:rsidR="00B43A85" w:rsidRDefault="00131525" w:rsidP="00131525">
                          <w:pPr>
                            <w:jc w:val="right"/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</w:pPr>
                          <w:r w:rsidRPr="0013152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>Coordinación de Conservación y</w:t>
                          </w:r>
                          <w:r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13152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>Servicios Generales</w:t>
                          </w:r>
                        </w:p>
                        <w:p w:rsidR="003C5915" w:rsidRDefault="00B43A85" w:rsidP="00131525">
                          <w:pPr>
                            <w:jc w:val="right"/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>Coordinación Técnica de Administración de Activos</w:t>
                          </w:r>
                        </w:p>
                        <w:p w:rsidR="00B43A85" w:rsidRPr="00131525" w:rsidRDefault="00B43A85" w:rsidP="00131525">
                          <w:pPr>
                            <w:jc w:val="right"/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>División de Arrendamiento y Comercialización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35.75pt;margin-top:45.95pt;width:274pt;height:48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" filled="f" stroked="f">
              <v:textbox>
                <w:txbxContent>
                  <w:p w:rsidR="003C5915" w:rsidRPr="00C0299D" w:rsidRDefault="003C5915" w:rsidP="003C5915">
                    <w:pPr>
                      <w:jc w:val="right"/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</w:pPr>
                    <w:r w:rsidRPr="00C0299D"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  <w:t xml:space="preserve"> DIRECCIÓN DE </w:t>
                    </w:r>
                    <w:r w:rsidR="00131525"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  <w:t>ADMINISTRACIÓN</w:t>
                    </w:r>
                    <w:r w:rsidRPr="00C0299D"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  <w:t xml:space="preserve"> </w:t>
                    </w:r>
                  </w:p>
                  <w:p w:rsidR="00131525" w:rsidRDefault="00131525" w:rsidP="00131525">
                    <w:pPr>
                      <w:jc w:val="right"/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</w:pPr>
                    <w:r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  <w:t>Unidad de Administración</w:t>
                    </w:r>
                  </w:p>
                  <w:p w:rsidR="00B43A85" w:rsidRDefault="00131525" w:rsidP="00131525">
                    <w:pPr>
                      <w:jc w:val="right"/>
                      <w:rPr>
                        <w:rFonts w:ascii="Montserrat Medium" w:hAnsi="Montserrat Medium"/>
                        <w:sz w:val="14"/>
                        <w:szCs w:val="14"/>
                      </w:rPr>
                    </w:pPr>
                    <w:r w:rsidRPr="00131525">
                      <w:rPr>
                        <w:rFonts w:ascii="Montserrat Medium" w:hAnsi="Montserrat Medium"/>
                        <w:sz w:val="14"/>
                        <w:szCs w:val="14"/>
                      </w:rPr>
                      <w:t>Coordinación de Conservación y</w:t>
                    </w:r>
                    <w:r>
                      <w:rPr>
                        <w:rFonts w:ascii="Montserrat Medium" w:hAnsi="Montserrat Medium"/>
                        <w:sz w:val="14"/>
                        <w:szCs w:val="14"/>
                      </w:rPr>
                      <w:t xml:space="preserve"> </w:t>
                    </w:r>
                    <w:r w:rsidRPr="00131525">
                      <w:rPr>
                        <w:rFonts w:ascii="Montserrat Medium" w:hAnsi="Montserrat Medium"/>
                        <w:sz w:val="14"/>
                        <w:szCs w:val="14"/>
                      </w:rPr>
                      <w:t>Servicios Generales</w:t>
                    </w:r>
                  </w:p>
                  <w:p w:rsidR="003C5915" w:rsidRDefault="00B43A85" w:rsidP="00131525">
                    <w:pPr>
                      <w:jc w:val="right"/>
                      <w:rPr>
                        <w:rFonts w:ascii="Montserrat Medium" w:hAnsi="Montserrat Medium"/>
                        <w:sz w:val="14"/>
                        <w:szCs w:val="14"/>
                      </w:rPr>
                    </w:pPr>
                    <w:r>
                      <w:rPr>
                        <w:rFonts w:ascii="Montserrat Medium" w:hAnsi="Montserrat Medium"/>
                        <w:sz w:val="14"/>
                        <w:szCs w:val="14"/>
                      </w:rPr>
                      <w:t>Coordinación Técnica de Administración de Activos</w:t>
                    </w:r>
                  </w:p>
                  <w:p w:rsidR="00B43A85" w:rsidRPr="00131525" w:rsidRDefault="00B43A85" w:rsidP="00131525">
                    <w:pPr>
                      <w:jc w:val="right"/>
                      <w:rPr>
                        <w:rFonts w:ascii="Montserrat Medium" w:hAnsi="Montserrat Medium"/>
                        <w:sz w:val="12"/>
                        <w:szCs w:val="12"/>
                      </w:rPr>
                    </w:pPr>
                    <w:r>
                      <w:rPr>
                        <w:rFonts w:ascii="Montserrat Medium" w:hAnsi="Montserrat Medium"/>
                        <w:sz w:val="14"/>
                        <w:szCs w:val="14"/>
                      </w:rPr>
                      <w:t>División de Arrendamiento y Comercialización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158D7"/>
    <w:multiLevelType w:val="hybridMultilevel"/>
    <w:tmpl w:val="4EC0868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EE562B"/>
    <w:multiLevelType w:val="hybridMultilevel"/>
    <w:tmpl w:val="D570CB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A904C4"/>
    <w:multiLevelType w:val="hybridMultilevel"/>
    <w:tmpl w:val="63AC58C4"/>
    <w:lvl w:ilvl="0" w:tplc="3A1A71F0">
      <w:numFmt w:val="bullet"/>
      <w:lvlText w:val="-"/>
      <w:lvlJc w:val="left"/>
      <w:pPr>
        <w:ind w:left="1080" w:hanging="360"/>
      </w:pPr>
      <w:rPr>
        <w:rFonts w:ascii="Montserrat Medium" w:eastAsiaTheme="minorHAnsi" w:hAnsi="Montserrat Medium" w:cs="Aria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03E34EF"/>
    <w:multiLevelType w:val="hybridMultilevel"/>
    <w:tmpl w:val="DBA62084"/>
    <w:lvl w:ilvl="0" w:tplc="BA4478CE">
      <w:numFmt w:val="bullet"/>
      <w:lvlText w:val="-"/>
      <w:lvlJc w:val="left"/>
      <w:pPr>
        <w:ind w:left="720" w:hanging="360"/>
      </w:pPr>
      <w:rPr>
        <w:rFonts w:ascii="Montserrat Medium" w:eastAsiaTheme="minorHAnsi" w:hAnsi="Montserrat Medium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BC28E9"/>
    <w:multiLevelType w:val="hybridMultilevel"/>
    <w:tmpl w:val="817CF13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AE0627"/>
    <w:multiLevelType w:val="hybridMultilevel"/>
    <w:tmpl w:val="4B265D1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C95936"/>
    <w:multiLevelType w:val="hybridMultilevel"/>
    <w:tmpl w:val="4C2EEFD2"/>
    <w:lvl w:ilvl="0" w:tplc="32647570">
      <w:numFmt w:val="bullet"/>
      <w:lvlText w:val="-"/>
      <w:lvlJc w:val="left"/>
      <w:pPr>
        <w:ind w:left="1440" w:hanging="360"/>
      </w:pPr>
      <w:rPr>
        <w:rFonts w:ascii="Montserrat" w:eastAsiaTheme="minorEastAsia" w:hAnsi="Montserrat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65467D6"/>
    <w:multiLevelType w:val="hybridMultilevel"/>
    <w:tmpl w:val="4EC0868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9B166A"/>
    <w:multiLevelType w:val="hybridMultilevel"/>
    <w:tmpl w:val="41C48468"/>
    <w:lvl w:ilvl="0" w:tplc="32647570">
      <w:numFmt w:val="bullet"/>
      <w:lvlText w:val="-"/>
      <w:lvlJc w:val="left"/>
      <w:pPr>
        <w:ind w:left="1440" w:hanging="360"/>
      </w:pPr>
      <w:rPr>
        <w:rFonts w:ascii="Montserrat" w:eastAsiaTheme="minorEastAsia" w:hAnsi="Montserrat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74941372"/>
    <w:multiLevelType w:val="hybridMultilevel"/>
    <w:tmpl w:val="5EC6581C"/>
    <w:lvl w:ilvl="0" w:tplc="32647570">
      <w:numFmt w:val="bullet"/>
      <w:lvlText w:val="-"/>
      <w:lvlJc w:val="left"/>
      <w:pPr>
        <w:ind w:left="360" w:hanging="360"/>
      </w:pPr>
      <w:rPr>
        <w:rFonts w:ascii="Montserrat" w:eastAsiaTheme="minorEastAsia" w:hAnsi="Montserrat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6FD1D69"/>
    <w:multiLevelType w:val="hybridMultilevel"/>
    <w:tmpl w:val="10B0785C"/>
    <w:lvl w:ilvl="0" w:tplc="4BB865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0"/>
  </w:num>
  <w:num w:numId="5">
    <w:abstractNumId w:val="1"/>
  </w:num>
  <w:num w:numId="6">
    <w:abstractNumId w:val="9"/>
  </w:num>
  <w:num w:numId="7">
    <w:abstractNumId w:val="4"/>
  </w:num>
  <w:num w:numId="8">
    <w:abstractNumId w:val="8"/>
  </w:num>
  <w:num w:numId="9">
    <w:abstractNumId w:val="6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28A"/>
    <w:rsid w:val="0000590D"/>
    <w:rsid w:val="00012F7A"/>
    <w:rsid w:val="00013663"/>
    <w:rsid w:val="0001624F"/>
    <w:rsid w:val="00022301"/>
    <w:rsid w:val="0003214C"/>
    <w:rsid w:val="0003448A"/>
    <w:rsid w:val="00034D92"/>
    <w:rsid w:val="00041CB1"/>
    <w:rsid w:val="000442D3"/>
    <w:rsid w:val="000444AF"/>
    <w:rsid w:val="00066B59"/>
    <w:rsid w:val="00070294"/>
    <w:rsid w:val="00071C46"/>
    <w:rsid w:val="00083DD4"/>
    <w:rsid w:val="000A1383"/>
    <w:rsid w:val="000B15DD"/>
    <w:rsid w:val="000C1776"/>
    <w:rsid w:val="000C3F14"/>
    <w:rsid w:val="000C3F67"/>
    <w:rsid w:val="000C53C1"/>
    <w:rsid w:val="000D499F"/>
    <w:rsid w:val="000D4F19"/>
    <w:rsid w:val="000E7A92"/>
    <w:rsid w:val="000F28FD"/>
    <w:rsid w:val="000F545F"/>
    <w:rsid w:val="000F56BB"/>
    <w:rsid w:val="00117B35"/>
    <w:rsid w:val="00126E99"/>
    <w:rsid w:val="00131525"/>
    <w:rsid w:val="00134C0E"/>
    <w:rsid w:val="00143325"/>
    <w:rsid w:val="00144B99"/>
    <w:rsid w:val="0015296E"/>
    <w:rsid w:val="0016387A"/>
    <w:rsid w:val="001652D7"/>
    <w:rsid w:val="001665A5"/>
    <w:rsid w:val="00167B0F"/>
    <w:rsid w:val="00176AE3"/>
    <w:rsid w:val="00195DA6"/>
    <w:rsid w:val="00197406"/>
    <w:rsid w:val="001A2B2D"/>
    <w:rsid w:val="001A638F"/>
    <w:rsid w:val="001B6AD6"/>
    <w:rsid w:val="001B6FFE"/>
    <w:rsid w:val="001C2F1F"/>
    <w:rsid w:val="001D3D29"/>
    <w:rsid w:val="001E3ED2"/>
    <w:rsid w:val="00206D94"/>
    <w:rsid w:val="00211013"/>
    <w:rsid w:val="002120D5"/>
    <w:rsid w:val="0021560F"/>
    <w:rsid w:val="00220C51"/>
    <w:rsid w:val="00223B06"/>
    <w:rsid w:val="002267F4"/>
    <w:rsid w:val="00237201"/>
    <w:rsid w:val="0025041D"/>
    <w:rsid w:val="00252514"/>
    <w:rsid w:val="002527B4"/>
    <w:rsid w:val="00277422"/>
    <w:rsid w:val="00277E12"/>
    <w:rsid w:val="00293194"/>
    <w:rsid w:val="00294E7B"/>
    <w:rsid w:val="002A06DF"/>
    <w:rsid w:val="002B35F3"/>
    <w:rsid w:val="002B3D43"/>
    <w:rsid w:val="002C3AA0"/>
    <w:rsid w:val="002D7F1F"/>
    <w:rsid w:val="002E619C"/>
    <w:rsid w:val="002F4AD5"/>
    <w:rsid w:val="0031393D"/>
    <w:rsid w:val="00324406"/>
    <w:rsid w:val="00336A20"/>
    <w:rsid w:val="0034226D"/>
    <w:rsid w:val="00344337"/>
    <w:rsid w:val="00347665"/>
    <w:rsid w:val="0035396B"/>
    <w:rsid w:val="00364DDB"/>
    <w:rsid w:val="003653BA"/>
    <w:rsid w:val="0037044F"/>
    <w:rsid w:val="003767FC"/>
    <w:rsid w:val="003C4E1C"/>
    <w:rsid w:val="003C5915"/>
    <w:rsid w:val="003D3404"/>
    <w:rsid w:val="003E4AA6"/>
    <w:rsid w:val="003E5B30"/>
    <w:rsid w:val="00402086"/>
    <w:rsid w:val="004045BF"/>
    <w:rsid w:val="00420119"/>
    <w:rsid w:val="00421E9E"/>
    <w:rsid w:val="00421F78"/>
    <w:rsid w:val="00425A77"/>
    <w:rsid w:val="00426A0A"/>
    <w:rsid w:val="00432B29"/>
    <w:rsid w:val="00437C4A"/>
    <w:rsid w:val="00442A29"/>
    <w:rsid w:val="00445E2C"/>
    <w:rsid w:val="00450716"/>
    <w:rsid w:val="00452AB8"/>
    <w:rsid w:val="00455B35"/>
    <w:rsid w:val="0047478D"/>
    <w:rsid w:val="00492AA4"/>
    <w:rsid w:val="00493141"/>
    <w:rsid w:val="004B30BD"/>
    <w:rsid w:val="004B5821"/>
    <w:rsid w:val="004B6DA5"/>
    <w:rsid w:val="004B6F47"/>
    <w:rsid w:val="004B75DE"/>
    <w:rsid w:val="004D49F2"/>
    <w:rsid w:val="004E1D8B"/>
    <w:rsid w:val="004E793E"/>
    <w:rsid w:val="004F3828"/>
    <w:rsid w:val="0050313C"/>
    <w:rsid w:val="00503BF6"/>
    <w:rsid w:val="005200A5"/>
    <w:rsid w:val="005250C3"/>
    <w:rsid w:val="00530A4B"/>
    <w:rsid w:val="00537975"/>
    <w:rsid w:val="005416F8"/>
    <w:rsid w:val="00544674"/>
    <w:rsid w:val="00575162"/>
    <w:rsid w:val="00575575"/>
    <w:rsid w:val="00577079"/>
    <w:rsid w:val="00584E1D"/>
    <w:rsid w:val="005929CE"/>
    <w:rsid w:val="005949D9"/>
    <w:rsid w:val="00597919"/>
    <w:rsid w:val="005A6742"/>
    <w:rsid w:val="005B5016"/>
    <w:rsid w:val="005B53F6"/>
    <w:rsid w:val="005C24A1"/>
    <w:rsid w:val="005C2A07"/>
    <w:rsid w:val="005D178C"/>
    <w:rsid w:val="005E4339"/>
    <w:rsid w:val="005F47DA"/>
    <w:rsid w:val="00603B70"/>
    <w:rsid w:val="00604871"/>
    <w:rsid w:val="00606977"/>
    <w:rsid w:val="00607C51"/>
    <w:rsid w:val="00610E27"/>
    <w:rsid w:val="00615BE8"/>
    <w:rsid w:val="006233DB"/>
    <w:rsid w:val="00623791"/>
    <w:rsid w:val="0063430F"/>
    <w:rsid w:val="00653C1D"/>
    <w:rsid w:val="00664483"/>
    <w:rsid w:val="00674B19"/>
    <w:rsid w:val="006905FF"/>
    <w:rsid w:val="00692CD9"/>
    <w:rsid w:val="00693A47"/>
    <w:rsid w:val="00694A64"/>
    <w:rsid w:val="0069500B"/>
    <w:rsid w:val="006A7A90"/>
    <w:rsid w:val="006C0592"/>
    <w:rsid w:val="006C5D60"/>
    <w:rsid w:val="006E5755"/>
    <w:rsid w:val="0071059D"/>
    <w:rsid w:val="0072594E"/>
    <w:rsid w:val="007367C8"/>
    <w:rsid w:val="007402FB"/>
    <w:rsid w:val="0074178F"/>
    <w:rsid w:val="00742C63"/>
    <w:rsid w:val="007472B6"/>
    <w:rsid w:val="007567E3"/>
    <w:rsid w:val="00761FA7"/>
    <w:rsid w:val="00763016"/>
    <w:rsid w:val="00783756"/>
    <w:rsid w:val="00786DFE"/>
    <w:rsid w:val="00793078"/>
    <w:rsid w:val="007973D8"/>
    <w:rsid w:val="007A3B7D"/>
    <w:rsid w:val="007A5463"/>
    <w:rsid w:val="007A7915"/>
    <w:rsid w:val="007B5578"/>
    <w:rsid w:val="007C0BA0"/>
    <w:rsid w:val="007D0B8C"/>
    <w:rsid w:val="007D115D"/>
    <w:rsid w:val="007F3513"/>
    <w:rsid w:val="0080235A"/>
    <w:rsid w:val="00813A70"/>
    <w:rsid w:val="00816121"/>
    <w:rsid w:val="00826848"/>
    <w:rsid w:val="00835BF3"/>
    <w:rsid w:val="00837532"/>
    <w:rsid w:val="00843ACB"/>
    <w:rsid w:val="008500ED"/>
    <w:rsid w:val="008548CA"/>
    <w:rsid w:val="00860966"/>
    <w:rsid w:val="00860C75"/>
    <w:rsid w:val="0086171F"/>
    <w:rsid w:val="00866DDD"/>
    <w:rsid w:val="008A4B83"/>
    <w:rsid w:val="008A5A93"/>
    <w:rsid w:val="008A70D7"/>
    <w:rsid w:val="008B24DF"/>
    <w:rsid w:val="008B2BA9"/>
    <w:rsid w:val="008B4E27"/>
    <w:rsid w:val="008B59B1"/>
    <w:rsid w:val="008D45C3"/>
    <w:rsid w:val="008D6B7C"/>
    <w:rsid w:val="008D6BA0"/>
    <w:rsid w:val="00910387"/>
    <w:rsid w:val="00913D44"/>
    <w:rsid w:val="009202FC"/>
    <w:rsid w:val="00924A98"/>
    <w:rsid w:val="009343C3"/>
    <w:rsid w:val="00951849"/>
    <w:rsid w:val="00951D51"/>
    <w:rsid w:val="00957C5E"/>
    <w:rsid w:val="00962161"/>
    <w:rsid w:val="00972EC9"/>
    <w:rsid w:val="00975D71"/>
    <w:rsid w:val="00976546"/>
    <w:rsid w:val="00977210"/>
    <w:rsid w:val="00990C80"/>
    <w:rsid w:val="00993976"/>
    <w:rsid w:val="009D2EEC"/>
    <w:rsid w:val="009E07A1"/>
    <w:rsid w:val="009E1A49"/>
    <w:rsid w:val="009E5824"/>
    <w:rsid w:val="00A12360"/>
    <w:rsid w:val="00A21473"/>
    <w:rsid w:val="00A23650"/>
    <w:rsid w:val="00A261FE"/>
    <w:rsid w:val="00A3161F"/>
    <w:rsid w:val="00A31BAB"/>
    <w:rsid w:val="00A33AE3"/>
    <w:rsid w:val="00A44E9D"/>
    <w:rsid w:val="00A456DE"/>
    <w:rsid w:val="00A500E4"/>
    <w:rsid w:val="00A534A3"/>
    <w:rsid w:val="00A53FE4"/>
    <w:rsid w:val="00A560A4"/>
    <w:rsid w:val="00A63E03"/>
    <w:rsid w:val="00A724C1"/>
    <w:rsid w:val="00A7661F"/>
    <w:rsid w:val="00A86CDC"/>
    <w:rsid w:val="00AA39D3"/>
    <w:rsid w:val="00AA6892"/>
    <w:rsid w:val="00AC0D39"/>
    <w:rsid w:val="00AC25BC"/>
    <w:rsid w:val="00AC32C9"/>
    <w:rsid w:val="00AC3C4E"/>
    <w:rsid w:val="00AC546F"/>
    <w:rsid w:val="00AC5CAF"/>
    <w:rsid w:val="00AD46F2"/>
    <w:rsid w:val="00AD5446"/>
    <w:rsid w:val="00AE147F"/>
    <w:rsid w:val="00AE4F68"/>
    <w:rsid w:val="00B02BCE"/>
    <w:rsid w:val="00B06710"/>
    <w:rsid w:val="00B21D99"/>
    <w:rsid w:val="00B31E28"/>
    <w:rsid w:val="00B34085"/>
    <w:rsid w:val="00B36B0F"/>
    <w:rsid w:val="00B36F3F"/>
    <w:rsid w:val="00B404F1"/>
    <w:rsid w:val="00B4228A"/>
    <w:rsid w:val="00B43A85"/>
    <w:rsid w:val="00B46350"/>
    <w:rsid w:val="00B537A6"/>
    <w:rsid w:val="00B57FC8"/>
    <w:rsid w:val="00B62C77"/>
    <w:rsid w:val="00B72A72"/>
    <w:rsid w:val="00B73894"/>
    <w:rsid w:val="00B73EF5"/>
    <w:rsid w:val="00B73FF2"/>
    <w:rsid w:val="00B77974"/>
    <w:rsid w:val="00B94A2A"/>
    <w:rsid w:val="00BA50FE"/>
    <w:rsid w:val="00BA74B3"/>
    <w:rsid w:val="00BB61C7"/>
    <w:rsid w:val="00BC2AB7"/>
    <w:rsid w:val="00BD07AB"/>
    <w:rsid w:val="00BD1FED"/>
    <w:rsid w:val="00BD6C09"/>
    <w:rsid w:val="00BE49B3"/>
    <w:rsid w:val="00BF39A8"/>
    <w:rsid w:val="00C106F6"/>
    <w:rsid w:val="00C335CE"/>
    <w:rsid w:val="00C4095A"/>
    <w:rsid w:val="00C47BD4"/>
    <w:rsid w:val="00C50CDB"/>
    <w:rsid w:val="00C615F9"/>
    <w:rsid w:val="00C61DBE"/>
    <w:rsid w:val="00C770D3"/>
    <w:rsid w:val="00C80C62"/>
    <w:rsid w:val="00C93333"/>
    <w:rsid w:val="00C9621E"/>
    <w:rsid w:val="00CA0FFA"/>
    <w:rsid w:val="00CA1C01"/>
    <w:rsid w:val="00CA4253"/>
    <w:rsid w:val="00CB06D2"/>
    <w:rsid w:val="00CB4DFC"/>
    <w:rsid w:val="00CB7BEA"/>
    <w:rsid w:val="00CE209B"/>
    <w:rsid w:val="00CE5AEA"/>
    <w:rsid w:val="00D04FF4"/>
    <w:rsid w:val="00D05B68"/>
    <w:rsid w:val="00D10902"/>
    <w:rsid w:val="00D11642"/>
    <w:rsid w:val="00D178F1"/>
    <w:rsid w:val="00D2380A"/>
    <w:rsid w:val="00D30368"/>
    <w:rsid w:val="00D52F3F"/>
    <w:rsid w:val="00D538B7"/>
    <w:rsid w:val="00D568C0"/>
    <w:rsid w:val="00D57B0D"/>
    <w:rsid w:val="00D7342B"/>
    <w:rsid w:val="00D7411D"/>
    <w:rsid w:val="00D774FF"/>
    <w:rsid w:val="00D97196"/>
    <w:rsid w:val="00DA2B22"/>
    <w:rsid w:val="00DA408D"/>
    <w:rsid w:val="00DA497B"/>
    <w:rsid w:val="00DA680F"/>
    <w:rsid w:val="00DB20A5"/>
    <w:rsid w:val="00DD20A3"/>
    <w:rsid w:val="00DF075E"/>
    <w:rsid w:val="00DF1F90"/>
    <w:rsid w:val="00DF58C4"/>
    <w:rsid w:val="00E05E2F"/>
    <w:rsid w:val="00E062DC"/>
    <w:rsid w:val="00E16698"/>
    <w:rsid w:val="00E17492"/>
    <w:rsid w:val="00E205EF"/>
    <w:rsid w:val="00E22F45"/>
    <w:rsid w:val="00E27FD5"/>
    <w:rsid w:val="00E362B1"/>
    <w:rsid w:val="00E43527"/>
    <w:rsid w:val="00E57BD9"/>
    <w:rsid w:val="00E64A8E"/>
    <w:rsid w:val="00E65277"/>
    <w:rsid w:val="00E70E4E"/>
    <w:rsid w:val="00E74E54"/>
    <w:rsid w:val="00E751F4"/>
    <w:rsid w:val="00E75AC1"/>
    <w:rsid w:val="00E832D6"/>
    <w:rsid w:val="00E94DEA"/>
    <w:rsid w:val="00EA0A37"/>
    <w:rsid w:val="00EA2DF0"/>
    <w:rsid w:val="00EA373B"/>
    <w:rsid w:val="00EB23BA"/>
    <w:rsid w:val="00EB2E73"/>
    <w:rsid w:val="00EB494E"/>
    <w:rsid w:val="00EB774D"/>
    <w:rsid w:val="00EC22C2"/>
    <w:rsid w:val="00ED1791"/>
    <w:rsid w:val="00ED7591"/>
    <w:rsid w:val="00EE0FE3"/>
    <w:rsid w:val="00EE6F44"/>
    <w:rsid w:val="00EE77DA"/>
    <w:rsid w:val="00EF7AB0"/>
    <w:rsid w:val="00F2231B"/>
    <w:rsid w:val="00F34530"/>
    <w:rsid w:val="00F42C87"/>
    <w:rsid w:val="00F45E14"/>
    <w:rsid w:val="00F537A2"/>
    <w:rsid w:val="00F60E57"/>
    <w:rsid w:val="00F71A9D"/>
    <w:rsid w:val="00F72A94"/>
    <w:rsid w:val="00F74F25"/>
    <w:rsid w:val="00F95CCF"/>
    <w:rsid w:val="00FD0FF0"/>
    <w:rsid w:val="00FD1ECD"/>
    <w:rsid w:val="00FD6970"/>
    <w:rsid w:val="00FE06A2"/>
    <w:rsid w:val="00FF0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C17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228A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4228A"/>
  </w:style>
  <w:style w:type="paragraph" w:styleId="Piedepgina">
    <w:name w:val="footer"/>
    <w:basedOn w:val="Normal"/>
    <w:link w:val="PiedepginaCar"/>
    <w:uiPriority w:val="99"/>
    <w:unhideWhenUsed/>
    <w:rsid w:val="00B4228A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4228A"/>
  </w:style>
  <w:style w:type="paragraph" w:styleId="Textodeglobo">
    <w:name w:val="Balloon Text"/>
    <w:basedOn w:val="Normal"/>
    <w:link w:val="TextodegloboCar"/>
    <w:uiPriority w:val="99"/>
    <w:semiHidden/>
    <w:unhideWhenUsed/>
    <w:rsid w:val="00B4228A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228A"/>
    <w:rPr>
      <w:rFonts w:ascii="Lucida Grande" w:hAnsi="Lucida Grande"/>
      <w:sz w:val="18"/>
      <w:szCs w:val="18"/>
    </w:rPr>
  </w:style>
  <w:style w:type="table" w:styleId="Tablaconcuadrcula">
    <w:name w:val="Table Grid"/>
    <w:basedOn w:val="Tablanormal"/>
    <w:uiPriority w:val="59"/>
    <w:rsid w:val="005F47DA"/>
    <w:rPr>
      <w:rFonts w:eastAsiaTheme="minorHAnsi"/>
      <w:sz w:val="22"/>
      <w:szCs w:val="22"/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5F47DA"/>
    <w:pPr>
      <w:spacing w:after="200" w:line="276" w:lineRule="auto"/>
      <w:ind w:left="720"/>
      <w:contextualSpacing/>
    </w:pPr>
    <w:rPr>
      <w:rFonts w:ascii="Arial" w:eastAsiaTheme="minorHAnsi" w:hAnsi="Arial" w:cs="Arial"/>
      <w:sz w:val="22"/>
      <w:szCs w:val="22"/>
      <w:lang w:val="es-MX"/>
    </w:rPr>
  </w:style>
  <w:style w:type="character" w:customStyle="1" w:styleId="Ttulo1Car">
    <w:name w:val="Título 1 Car"/>
    <w:basedOn w:val="Fuentedeprrafopredeter"/>
    <w:link w:val="Ttulo1"/>
    <w:uiPriority w:val="9"/>
    <w:rsid w:val="000C17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nfasis">
    <w:name w:val="Emphasis"/>
    <w:basedOn w:val="Fuentedeprrafopredeter"/>
    <w:uiPriority w:val="20"/>
    <w:qFormat/>
    <w:rsid w:val="00022301"/>
    <w:rPr>
      <w:i/>
      <w:iCs/>
    </w:rPr>
  </w:style>
  <w:style w:type="paragraph" w:styleId="Textoindependiente">
    <w:name w:val="Body Text"/>
    <w:basedOn w:val="Normal"/>
    <w:link w:val="TextoindependienteCar"/>
    <w:rsid w:val="000B15DD"/>
    <w:pPr>
      <w:jc w:val="both"/>
    </w:pPr>
    <w:rPr>
      <w:rFonts w:ascii="Arial" w:eastAsia="Times New Roman" w:hAnsi="Arial" w:cs="Arial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0B15DD"/>
    <w:rPr>
      <w:rFonts w:ascii="Arial" w:eastAsia="Times New Roman" w:hAnsi="Arial" w:cs="Arial"/>
      <w:lang w:val="es-ES"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0B15DD"/>
    <w:rPr>
      <w:rFonts w:ascii="Arial" w:eastAsiaTheme="minorHAnsi" w:hAnsi="Arial" w:cs="Arial"/>
      <w:sz w:val="22"/>
      <w:szCs w:val="22"/>
      <w:lang w:val="es-MX"/>
    </w:rPr>
  </w:style>
  <w:style w:type="table" w:styleId="Listaclara-nfasis2">
    <w:name w:val="Light List Accent 2"/>
    <w:basedOn w:val="Tablanormal"/>
    <w:uiPriority w:val="61"/>
    <w:rsid w:val="00C50CD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Cuadrculaclara-nfasis2">
    <w:name w:val="Light Grid Accent 2"/>
    <w:basedOn w:val="Tablanormal"/>
    <w:uiPriority w:val="62"/>
    <w:rsid w:val="00B31E28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C17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228A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4228A"/>
  </w:style>
  <w:style w:type="paragraph" w:styleId="Piedepgina">
    <w:name w:val="footer"/>
    <w:basedOn w:val="Normal"/>
    <w:link w:val="PiedepginaCar"/>
    <w:uiPriority w:val="99"/>
    <w:unhideWhenUsed/>
    <w:rsid w:val="00B4228A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4228A"/>
  </w:style>
  <w:style w:type="paragraph" w:styleId="Textodeglobo">
    <w:name w:val="Balloon Text"/>
    <w:basedOn w:val="Normal"/>
    <w:link w:val="TextodegloboCar"/>
    <w:uiPriority w:val="99"/>
    <w:semiHidden/>
    <w:unhideWhenUsed/>
    <w:rsid w:val="00B4228A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228A"/>
    <w:rPr>
      <w:rFonts w:ascii="Lucida Grande" w:hAnsi="Lucida Grande"/>
      <w:sz w:val="18"/>
      <w:szCs w:val="18"/>
    </w:rPr>
  </w:style>
  <w:style w:type="table" w:styleId="Tablaconcuadrcula">
    <w:name w:val="Table Grid"/>
    <w:basedOn w:val="Tablanormal"/>
    <w:uiPriority w:val="59"/>
    <w:rsid w:val="005F47DA"/>
    <w:rPr>
      <w:rFonts w:eastAsiaTheme="minorHAnsi"/>
      <w:sz w:val="22"/>
      <w:szCs w:val="22"/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5F47DA"/>
    <w:pPr>
      <w:spacing w:after="200" w:line="276" w:lineRule="auto"/>
      <w:ind w:left="720"/>
      <w:contextualSpacing/>
    </w:pPr>
    <w:rPr>
      <w:rFonts w:ascii="Arial" w:eastAsiaTheme="minorHAnsi" w:hAnsi="Arial" w:cs="Arial"/>
      <w:sz w:val="22"/>
      <w:szCs w:val="22"/>
      <w:lang w:val="es-MX"/>
    </w:rPr>
  </w:style>
  <w:style w:type="character" w:customStyle="1" w:styleId="Ttulo1Car">
    <w:name w:val="Título 1 Car"/>
    <w:basedOn w:val="Fuentedeprrafopredeter"/>
    <w:link w:val="Ttulo1"/>
    <w:uiPriority w:val="9"/>
    <w:rsid w:val="000C17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nfasis">
    <w:name w:val="Emphasis"/>
    <w:basedOn w:val="Fuentedeprrafopredeter"/>
    <w:uiPriority w:val="20"/>
    <w:qFormat/>
    <w:rsid w:val="00022301"/>
    <w:rPr>
      <w:i/>
      <w:iCs/>
    </w:rPr>
  </w:style>
  <w:style w:type="paragraph" w:styleId="Textoindependiente">
    <w:name w:val="Body Text"/>
    <w:basedOn w:val="Normal"/>
    <w:link w:val="TextoindependienteCar"/>
    <w:rsid w:val="000B15DD"/>
    <w:pPr>
      <w:jc w:val="both"/>
    </w:pPr>
    <w:rPr>
      <w:rFonts w:ascii="Arial" w:eastAsia="Times New Roman" w:hAnsi="Arial" w:cs="Arial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0B15DD"/>
    <w:rPr>
      <w:rFonts w:ascii="Arial" w:eastAsia="Times New Roman" w:hAnsi="Arial" w:cs="Arial"/>
      <w:lang w:val="es-ES"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0B15DD"/>
    <w:rPr>
      <w:rFonts w:ascii="Arial" w:eastAsiaTheme="minorHAnsi" w:hAnsi="Arial" w:cs="Arial"/>
      <w:sz w:val="22"/>
      <w:szCs w:val="22"/>
      <w:lang w:val="es-MX"/>
    </w:rPr>
  </w:style>
  <w:style w:type="table" w:styleId="Listaclara-nfasis2">
    <w:name w:val="Light List Accent 2"/>
    <w:basedOn w:val="Tablanormal"/>
    <w:uiPriority w:val="61"/>
    <w:rsid w:val="00C50CD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Cuadrculaclara-nfasis2">
    <w:name w:val="Light Grid Accent 2"/>
    <w:basedOn w:val="Tablanormal"/>
    <w:uiPriority w:val="62"/>
    <w:rsid w:val="00B31E28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8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FD03E494956F4E9A1D342D76580B0A" ma:contentTypeVersion="1" ma:contentTypeDescription="Crear nuevo documento." ma:contentTypeScope="" ma:versionID="3d3e1c2ac676938f0249d38581db97c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85ED237-04D3-41A9-9C4C-FB084EC2E5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47B958-EEDE-4004-A958-03CDB0C7AA4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26297D7-CF8F-451C-AC12-D13FE72C05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DDAAE2C-FA36-472C-BD3B-49B6532E0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706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Instituto Mexicano del Seguro Social</Company>
  <LinksUpToDate>false</LinksUpToDate>
  <CharactersWithSpaces>4585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Luis Sánchez Morgado</dc:creator>
  <cp:lastModifiedBy>Guillermo Enrique Gómez Parra</cp:lastModifiedBy>
  <cp:revision>4</cp:revision>
  <cp:lastPrinted>2021-05-03T18:45:00Z</cp:lastPrinted>
  <dcterms:created xsi:type="dcterms:W3CDTF">2021-05-03T19:14:00Z</dcterms:created>
  <dcterms:modified xsi:type="dcterms:W3CDTF">2021-05-03T20:10:00Z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0x01010046FD03E494956F4E9A1D342D76580B0A</vt:lpwstr>
  </property>
</Properties>
</file>