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21" w:rsidRDefault="00081E21" w:rsidP="00081E21">
      <w:pPr>
        <w:spacing w:after="0" w:line="240" w:lineRule="auto"/>
        <w:jc w:val="both"/>
        <w:rPr>
          <w:rFonts w:cs="Calibri"/>
          <w:b/>
          <w:sz w:val="20"/>
          <w:szCs w:val="20"/>
        </w:rPr>
      </w:pPr>
      <w:r w:rsidRPr="00081E21">
        <w:rPr>
          <w:rFonts w:cs="Calibri"/>
          <w:b/>
          <w:sz w:val="20"/>
          <w:szCs w:val="20"/>
        </w:rPr>
        <w:t>ACUERDO ACDO.SA2.HCT.250117/23.P.DPES, dictado por el H. Consejo Técnico del Instituto Mexicano del Seguro Social en sesión ordinaria celebrada el 25 de enero de 2017, a través del cual se autoriza como mecanismo de comprobación de supervivencia para los pensionados y asignatarios que se encuentran fuera del país, el registro electrónico de su supervivencia ante las Oficinas Consulares de México en el extranjero, el cual es adicional a los previstos en la Regla 12 del Acuerdo ACDO.SA2.HCT.270814/185.P.DPES. y sus anexos, dictado por ese Órgano de gobierno en sesión del 27 de agosto de 2014, publicado en el Diario Oficial de la Federación el 23 de octubre de ese mismo año.</w:t>
      </w:r>
    </w:p>
    <w:p w:rsidR="00E365A9" w:rsidRDefault="00E365A9" w:rsidP="00E365A9">
      <w:pPr>
        <w:spacing w:after="0" w:line="240" w:lineRule="auto"/>
        <w:jc w:val="both"/>
        <w:rPr>
          <w:rFonts w:cs="Calibri"/>
          <w:b/>
          <w:sz w:val="20"/>
          <w:szCs w:val="20"/>
        </w:rPr>
      </w:pPr>
      <w:r>
        <w:rPr>
          <w:rFonts w:cs="Calibri"/>
          <w:b/>
          <w:noProof/>
          <w:sz w:val="20"/>
          <w:szCs w:val="20"/>
        </w:rPr>
        <mc:AlternateContent>
          <mc:Choice Requires="wps">
            <w:drawing>
              <wp:anchor distT="0" distB="0" distL="114300" distR="114300" simplePos="0" relativeHeight="251659264" behindDoc="0" locked="0" layoutInCell="1" allowOverlap="1" wp14:anchorId="1B226746" wp14:editId="11E0AD4B">
                <wp:simplePos x="0" y="0"/>
                <wp:positionH relativeFrom="column">
                  <wp:posOffset>40005</wp:posOffset>
                </wp:positionH>
                <wp:positionV relativeFrom="paragraph">
                  <wp:posOffset>130810</wp:posOffset>
                </wp:positionV>
                <wp:extent cx="5577840" cy="0"/>
                <wp:effectExtent l="0" t="0" r="22860" b="19050"/>
                <wp:wrapNone/>
                <wp:docPr id="1" name="1 Conector recto"/>
                <wp:cNvGraphicFramePr/>
                <a:graphic xmlns:a="http://schemas.openxmlformats.org/drawingml/2006/main">
                  <a:graphicData uri="http://schemas.microsoft.com/office/word/2010/wordprocessingShape">
                    <wps:wsp>
                      <wps:cNvCnPr/>
                      <wps:spPr>
                        <a:xfrm>
                          <a:off x="0" y="0"/>
                          <a:ext cx="55778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0.3pt" to="442.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" strokecolor="black [3213]" strokeweight="1.5pt"/>
            </w:pict>
          </mc:Fallback>
        </mc:AlternateContent>
      </w:r>
      <w:r>
        <w:rPr>
          <w:rFonts w:cs="Calibri"/>
          <w:b/>
          <w:noProof/>
          <w:sz w:val="20"/>
          <w:szCs w:val="20"/>
        </w:rPr>
        <mc:AlternateContent>
          <mc:Choice Requires="wps">
            <w:drawing>
              <wp:anchor distT="0" distB="0" distL="114300" distR="114300" simplePos="0" relativeHeight="251661312" behindDoc="0" locked="0" layoutInCell="1" allowOverlap="1" wp14:anchorId="16E22F7B" wp14:editId="7E443E99">
                <wp:simplePos x="0" y="0"/>
                <wp:positionH relativeFrom="column">
                  <wp:posOffset>40005</wp:posOffset>
                </wp:positionH>
                <wp:positionV relativeFrom="paragraph">
                  <wp:posOffset>31750</wp:posOffset>
                </wp:positionV>
                <wp:extent cx="5577840" cy="0"/>
                <wp:effectExtent l="0" t="19050" r="22860" b="38100"/>
                <wp:wrapNone/>
                <wp:docPr id="2" name="2 Conector recto"/>
                <wp:cNvGraphicFramePr/>
                <a:graphic xmlns:a="http://schemas.openxmlformats.org/drawingml/2006/main">
                  <a:graphicData uri="http://schemas.microsoft.com/office/word/2010/wordprocessingShape">
                    <wps:wsp>
                      <wps:cNvCnPr/>
                      <wps:spPr>
                        <a:xfrm>
                          <a:off x="0" y="0"/>
                          <a:ext cx="557784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5pt,2.5pt" to="442.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" strokecolor="black [3213]" strokeweight="4.5pt"/>
            </w:pict>
          </mc:Fallback>
        </mc:AlternateContent>
      </w:r>
    </w:p>
    <w:p w:rsidR="00E365A9" w:rsidRDefault="00E365A9" w:rsidP="00E365A9">
      <w:pPr>
        <w:spacing w:after="0" w:line="240" w:lineRule="auto"/>
        <w:jc w:val="both"/>
        <w:rPr>
          <w:rFonts w:cs="Calibri"/>
          <w:b/>
          <w:sz w:val="20"/>
          <w:szCs w:val="20"/>
        </w:rPr>
      </w:pPr>
    </w:p>
    <w:p w:rsidR="00E365A9" w:rsidRDefault="00081E21" w:rsidP="00E365A9">
      <w:pPr>
        <w:spacing w:after="0" w:line="240" w:lineRule="auto"/>
        <w:jc w:val="both"/>
        <w:rPr>
          <w:rFonts w:cs="Calibri"/>
          <w:b/>
          <w:sz w:val="20"/>
          <w:szCs w:val="20"/>
        </w:rPr>
      </w:pPr>
      <w:r>
        <w:rPr>
          <w:rFonts w:cs="Calibri"/>
          <w:b/>
          <w:noProof/>
          <w:sz w:val="20"/>
          <w:szCs w:val="20"/>
        </w:rPr>
        <w:drawing>
          <wp:inline distT="0" distB="0" distL="0" distR="0">
            <wp:extent cx="5578091" cy="6191250"/>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133" cy="6194626"/>
                    </a:xfrm>
                    <a:prstGeom prst="rect">
                      <a:avLst/>
                    </a:prstGeom>
                    <a:noFill/>
                    <a:ln>
                      <a:noFill/>
                    </a:ln>
                  </pic:spPr>
                </pic:pic>
              </a:graphicData>
            </a:graphic>
          </wp:inline>
        </w:drawing>
      </w:r>
    </w:p>
    <w:p w:rsidR="00E365A9" w:rsidRDefault="00E365A9" w:rsidP="00E365A9">
      <w:pPr>
        <w:spacing w:after="0" w:line="240" w:lineRule="auto"/>
        <w:jc w:val="both"/>
        <w:rPr>
          <w:rFonts w:cs="Calibri"/>
          <w:b/>
          <w:sz w:val="20"/>
          <w:szCs w:val="20"/>
        </w:rPr>
      </w:pPr>
    </w:p>
    <w:p w:rsidR="009761C7" w:rsidRDefault="009761C7" w:rsidP="00E365A9">
      <w:pPr>
        <w:spacing w:after="0" w:line="240" w:lineRule="auto"/>
        <w:jc w:val="both"/>
        <w:rPr>
          <w:rFonts w:cs="Calibri"/>
          <w:b/>
          <w:sz w:val="20"/>
          <w:szCs w:val="20"/>
        </w:rPr>
      </w:pPr>
    </w:p>
    <w:p w:rsidR="009761C7" w:rsidRDefault="009761C7" w:rsidP="00E365A9">
      <w:pPr>
        <w:spacing w:after="0" w:line="240" w:lineRule="auto"/>
        <w:jc w:val="both"/>
        <w:rPr>
          <w:rFonts w:cs="Calibri"/>
          <w:b/>
          <w:sz w:val="20"/>
          <w:szCs w:val="20"/>
        </w:rPr>
      </w:pPr>
    </w:p>
    <w:p w:rsidR="009761C7" w:rsidRDefault="009761C7" w:rsidP="00E365A9">
      <w:pPr>
        <w:spacing w:after="0" w:line="240" w:lineRule="auto"/>
        <w:jc w:val="both"/>
        <w:rPr>
          <w:rFonts w:cs="Calibri"/>
          <w:b/>
          <w:sz w:val="20"/>
          <w:szCs w:val="20"/>
        </w:rPr>
      </w:pPr>
    </w:p>
    <w:p w:rsidR="009761C7" w:rsidRDefault="00081E21" w:rsidP="00081E21">
      <w:pPr>
        <w:spacing w:after="0" w:line="240" w:lineRule="auto"/>
        <w:jc w:val="right"/>
        <w:rPr>
          <w:rFonts w:cs="Calibri"/>
          <w:b/>
          <w:sz w:val="20"/>
          <w:szCs w:val="20"/>
        </w:rPr>
      </w:pPr>
      <w:r>
        <w:rPr>
          <w:rFonts w:cs="Calibri"/>
          <w:b/>
          <w:noProof/>
          <w:sz w:val="20"/>
          <w:szCs w:val="20"/>
        </w:rPr>
        <w:lastRenderedPageBreak/>
        <w:drawing>
          <wp:inline distT="0" distB="0" distL="0" distR="0">
            <wp:extent cx="5514975" cy="12858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1285875"/>
                    </a:xfrm>
                    <a:prstGeom prst="rect">
                      <a:avLst/>
                    </a:prstGeom>
                    <a:noFill/>
                    <a:ln>
                      <a:noFill/>
                    </a:ln>
                  </pic:spPr>
                </pic:pic>
              </a:graphicData>
            </a:graphic>
          </wp:inline>
        </w:drawing>
      </w:r>
    </w:p>
    <w:p w:rsidR="009761C7" w:rsidRDefault="009761C7" w:rsidP="009761C7">
      <w:pPr>
        <w:pStyle w:val="Default"/>
      </w:pPr>
    </w:p>
    <w:p w:rsidR="009761C7" w:rsidRPr="009761C7" w:rsidRDefault="009761C7" w:rsidP="009761C7">
      <w:pPr>
        <w:pStyle w:val="Default"/>
        <w:rPr>
          <w:rFonts w:asciiTheme="minorHAnsi" w:hAnsiTheme="minorHAnsi" w:cs="Calibri"/>
          <w:b/>
          <w:color w:val="auto"/>
          <w:sz w:val="20"/>
          <w:szCs w:val="20"/>
        </w:rPr>
      </w:pPr>
      <w:r w:rsidRPr="009761C7">
        <w:rPr>
          <w:rFonts w:asciiTheme="minorHAnsi" w:hAnsiTheme="minorHAnsi" w:cs="Calibri"/>
          <w:b/>
          <w:color w:val="auto"/>
          <w:sz w:val="20"/>
          <w:szCs w:val="20"/>
        </w:rPr>
        <w:t xml:space="preserve"> Atentamente </w:t>
      </w:r>
    </w:p>
    <w:p w:rsidR="009761C7" w:rsidRDefault="0086587B" w:rsidP="009761C7">
      <w:pPr>
        <w:spacing w:after="0" w:line="240" w:lineRule="auto"/>
        <w:jc w:val="both"/>
        <w:rPr>
          <w:rFonts w:cs="Calibri"/>
          <w:b/>
          <w:sz w:val="20"/>
          <w:szCs w:val="20"/>
        </w:rPr>
      </w:pPr>
      <w:r>
        <w:rPr>
          <w:rFonts w:cs="Calibri"/>
          <w:b/>
          <w:sz w:val="20"/>
          <w:szCs w:val="20"/>
        </w:rPr>
        <w:t xml:space="preserve">Ciudad de </w:t>
      </w:r>
      <w:r w:rsidR="009761C7" w:rsidRPr="009761C7">
        <w:rPr>
          <w:rFonts w:cs="Calibri"/>
          <w:b/>
          <w:sz w:val="20"/>
          <w:szCs w:val="20"/>
        </w:rPr>
        <w:t xml:space="preserve">México, a </w:t>
      </w:r>
      <w:r w:rsidR="007B7332">
        <w:rPr>
          <w:rFonts w:cs="Calibri"/>
          <w:b/>
          <w:sz w:val="20"/>
          <w:szCs w:val="20"/>
        </w:rPr>
        <w:t>2</w:t>
      </w:r>
      <w:r w:rsidR="00081E21">
        <w:rPr>
          <w:rFonts w:cs="Calibri"/>
          <w:b/>
          <w:sz w:val="20"/>
          <w:szCs w:val="20"/>
        </w:rPr>
        <w:t>5</w:t>
      </w:r>
      <w:r w:rsidR="007B7332">
        <w:rPr>
          <w:rFonts w:cs="Calibri"/>
          <w:b/>
          <w:sz w:val="20"/>
          <w:szCs w:val="20"/>
        </w:rPr>
        <w:t xml:space="preserve"> de </w:t>
      </w:r>
      <w:r w:rsidR="00081E21">
        <w:rPr>
          <w:rFonts w:cs="Calibri"/>
          <w:b/>
          <w:sz w:val="20"/>
          <w:szCs w:val="20"/>
        </w:rPr>
        <w:t>enero</w:t>
      </w:r>
      <w:r w:rsidR="009761C7" w:rsidRPr="009761C7">
        <w:rPr>
          <w:rFonts w:cs="Calibri"/>
          <w:b/>
          <w:sz w:val="20"/>
          <w:szCs w:val="20"/>
        </w:rPr>
        <w:t xml:space="preserve"> de 201</w:t>
      </w:r>
      <w:r w:rsidR="00081E21">
        <w:rPr>
          <w:rFonts w:cs="Calibri"/>
          <w:b/>
          <w:sz w:val="20"/>
          <w:szCs w:val="20"/>
        </w:rPr>
        <w:t>7</w:t>
      </w:r>
      <w:bookmarkStart w:id="0" w:name="_GoBack"/>
      <w:bookmarkEnd w:id="0"/>
      <w:r w:rsidR="009761C7" w:rsidRPr="009761C7">
        <w:rPr>
          <w:rFonts w:cs="Calibri"/>
          <w:b/>
          <w:sz w:val="20"/>
          <w:szCs w:val="20"/>
        </w:rPr>
        <w:t>.- El Secretario General, Juan Carlos Velasco Pérez.- Rúbrica.</w:t>
      </w:r>
    </w:p>
    <w:sectPr w:rsidR="009761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A9"/>
    <w:rsid w:val="00081E21"/>
    <w:rsid w:val="00122709"/>
    <w:rsid w:val="001E46D7"/>
    <w:rsid w:val="004C67EC"/>
    <w:rsid w:val="006A4071"/>
    <w:rsid w:val="007B7332"/>
    <w:rsid w:val="0086587B"/>
    <w:rsid w:val="009761C7"/>
    <w:rsid w:val="00A26C0F"/>
    <w:rsid w:val="00E365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xttexto1">
    <w:name w:val="txttexto1"/>
    <w:uiPriority w:val="99"/>
    <w:rsid w:val="00E365A9"/>
    <w:rPr>
      <w:color w:val="365F91"/>
      <w:sz w:val="18"/>
      <w:szCs w:val="18"/>
    </w:rPr>
  </w:style>
  <w:style w:type="paragraph" w:styleId="Textodeglobo">
    <w:name w:val="Balloon Text"/>
    <w:basedOn w:val="Normal"/>
    <w:link w:val="TextodegloboCar"/>
    <w:uiPriority w:val="99"/>
    <w:semiHidden/>
    <w:unhideWhenUsed/>
    <w:rsid w:val="00E365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A9"/>
    <w:rPr>
      <w:rFonts w:ascii="Tahoma" w:hAnsi="Tahoma" w:cs="Tahoma"/>
      <w:sz w:val="16"/>
      <w:szCs w:val="16"/>
    </w:rPr>
  </w:style>
  <w:style w:type="paragraph" w:customStyle="1" w:styleId="Default">
    <w:name w:val="Default"/>
    <w:rsid w:val="009761C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xttexto1">
    <w:name w:val="txttexto1"/>
    <w:uiPriority w:val="99"/>
    <w:rsid w:val="00E365A9"/>
    <w:rPr>
      <w:color w:val="365F91"/>
      <w:sz w:val="18"/>
      <w:szCs w:val="18"/>
    </w:rPr>
  </w:style>
  <w:style w:type="paragraph" w:styleId="Textodeglobo">
    <w:name w:val="Balloon Text"/>
    <w:basedOn w:val="Normal"/>
    <w:link w:val="TextodegloboCar"/>
    <w:uiPriority w:val="99"/>
    <w:semiHidden/>
    <w:unhideWhenUsed/>
    <w:rsid w:val="00E365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A9"/>
    <w:rPr>
      <w:rFonts w:ascii="Tahoma" w:hAnsi="Tahoma" w:cs="Tahoma"/>
      <w:sz w:val="16"/>
      <w:szCs w:val="16"/>
    </w:rPr>
  </w:style>
  <w:style w:type="paragraph" w:customStyle="1" w:styleId="Default">
    <w:name w:val="Default"/>
    <w:rsid w:val="009761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Anahid Manjarrez Hernandez</dc:creator>
  <cp:lastModifiedBy>División Normativa de Prestaciones Económicas</cp:lastModifiedBy>
  <cp:revision>2</cp:revision>
  <cp:lastPrinted>2016-10-28T20:55:00Z</cp:lastPrinted>
  <dcterms:created xsi:type="dcterms:W3CDTF">2017-01-31T19:02:00Z</dcterms:created>
  <dcterms:modified xsi:type="dcterms:W3CDTF">2017-01-31T19:02:00Z</dcterms:modified>
</cp:coreProperties>
</file>