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FB" w:rsidRDefault="00C033F2" w:rsidP="00B95326">
      <w:pPr>
        <w:spacing w:after="120" w:line="240" w:lineRule="auto"/>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3666490</wp:posOffset>
                </wp:positionH>
                <wp:positionV relativeFrom="paragraph">
                  <wp:posOffset>-548640</wp:posOffset>
                </wp:positionV>
                <wp:extent cx="2515235" cy="489585"/>
                <wp:effectExtent l="8890" t="13335" r="8890" b="1143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489585"/>
                        </a:xfrm>
                        <a:prstGeom prst="rect">
                          <a:avLst/>
                        </a:prstGeom>
                        <a:solidFill>
                          <a:srgbClr val="FFFFFF"/>
                        </a:solidFill>
                        <a:ln w="9525">
                          <a:solidFill>
                            <a:srgbClr val="000000"/>
                          </a:solidFill>
                          <a:miter lim="800000"/>
                          <a:headEnd/>
                          <a:tailEnd/>
                        </a:ln>
                      </wps:spPr>
                      <wps:txbx>
                        <w:txbxContent>
                          <w:p w:rsidR="00CA372C" w:rsidRPr="00CA372C" w:rsidRDefault="00CA372C">
                            <w:pPr>
                              <w:rPr>
                                <w:rFonts w:ascii="Arial" w:hAnsi="Arial" w:cs="Arial"/>
                                <w:color w:val="FF0000"/>
                              </w:rPr>
                            </w:pPr>
                            <w:r w:rsidRPr="00CA372C">
                              <w:rPr>
                                <w:rFonts w:ascii="Arial" w:hAnsi="Arial" w:cs="Arial"/>
                                <w:color w:val="FF0000"/>
                              </w:rPr>
                              <w:t>Esta es resuelta por la COFEMER en 5 días hábiles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88.7pt;margin-top:-43.2pt;width:198.05pt;height:38.5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">
                <v:textbox>
                  <w:txbxContent>
                    <w:p w:rsidR="00CA372C" w:rsidRPr="00CA372C" w:rsidRDefault="00CA372C">
                      <w:pPr>
                        <w:rPr>
                          <w:rFonts w:ascii="Arial" w:hAnsi="Arial" w:cs="Arial"/>
                          <w:color w:val="FF0000"/>
                        </w:rPr>
                      </w:pPr>
                      <w:r w:rsidRPr="00CA372C">
                        <w:rPr>
                          <w:rFonts w:ascii="Arial" w:hAnsi="Arial" w:cs="Arial"/>
                          <w:color w:val="FF0000"/>
                        </w:rPr>
                        <w:t>Esta es resuelta por la COFEMER en 5 días hábiles</w:t>
                      </w:r>
                    </w:p>
                  </w:txbxContent>
                </v:textbox>
              </v:shape>
            </w:pict>
          </mc:Fallback>
        </mc:AlternateContent>
      </w:r>
      <w:r>
        <w:rPr>
          <w:noProof/>
          <w:lang w:eastAsia="es-MX"/>
        </w:rPr>
        <w:drawing>
          <wp:inline distT="0" distB="0" distL="0" distR="0">
            <wp:extent cx="6324600" cy="590550"/>
            <wp:effectExtent l="0" t="0" r="0" b="0"/>
            <wp:docPr id="1"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0" cy="590550"/>
                    </a:xfrm>
                    <a:prstGeom prst="rect">
                      <a:avLst/>
                    </a:prstGeom>
                    <a:noFill/>
                    <a:ln>
                      <a:noFill/>
                    </a:ln>
                  </pic:spPr>
                </pic:pic>
              </a:graphicData>
            </a:graphic>
          </wp:inline>
        </w:drawing>
      </w:r>
    </w:p>
    <w:p w:rsidR="00A85849" w:rsidRPr="00A85849" w:rsidRDefault="00A85849" w:rsidP="00B95326">
      <w:pPr>
        <w:spacing w:after="120" w:line="240" w:lineRule="auto"/>
        <w:rPr>
          <w:sz w:val="18"/>
          <w:szCs w:val="18"/>
        </w:rPr>
      </w:pPr>
    </w:p>
    <w:p w:rsidR="00247DFB" w:rsidRPr="00D82E19" w:rsidRDefault="00247DFB" w:rsidP="00EA4C68">
      <w:pPr>
        <w:shd w:val="clear" w:color="auto" w:fill="365F91"/>
        <w:spacing w:after="0"/>
        <w:ind w:firstLine="284"/>
        <w:jc w:val="center"/>
        <w:rPr>
          <w:b/>
          <w:color w:val="FFFFFF"/>
          <w:sz w:val="24"/>
          <w:szCs w:val="24"/>
        </w:rPr>
      </w:pPr>
      <w:r>
        <w:rPr>
          <w:b/>
          <w:noProof/>
          <w:color w:val="FFFFFF"/>
          <w:sz w:val="24"/>
          <w:szCs w:val="24"/>
          <w:lang w:eastAsia="es-MX"/>
        </w:rPr>
        <w:t>EXENCIÓN DE MIR</w:t>
      </w:r>
    </w:p>
    <w:tbl>
      <w:tblPr>
        <w:tblpPr w:leftFromText="141" w:rightFromText="141" w:vertAnchor="text" w:horzAnchor="margin" w:tblpXSpec="center" w:tblpY="146"/>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6"/>
        <w:gridCol w:w="6521"/>
      </w:tblGrid>
      <w:tr w:rsidR="00247DFB" w:rsidRPr="00287B57" w:rsidTr="00287B57">
        <w:trPr>
          <w:trHeight w:val="983"/>
        </w:trPr>
        <w:tc>
          <w:tcPr>
            <w:tcW w:w="3436" w:type="dxa"/>
            <w:shd w:val="clear" w:color="auto" w:fill="DBE5F1"/>
          </w:tcPr>
          <w:p w:rsidR="00247DFB" w:rsidRPr="00287B57" w:rsidRDefault="00247DFB" w:rsidP="008C259F">
            <w:pPr>
              <w:spacing w:before="60" w:after="240" w:line="264" w:lineRule="auto"/>
              <w:ind w:right="51"/>
              <w:jc w:val="both"/>
              <w:rPr>
                <w:sz w:val="20"/>
              </w:rPr>
            </w:pPr>
            <w:r w:rsidRPr="00287B57">
              <w:rPr>
                <w:sz w:val="20"/>
              </w:rPr>
              <w:t>Dependencia u organismo descentralizado:</w:t>
            </w:r>
            <w:r w:rsidR="008C259F">
              <w:rPr>
                <w:sz w:val="20"/>
              </w:rPr>
              <w:t xml:space="preserve"> </w:t>
            </w:r>
            <w:r w:rsidR="00D10B5A">
              <w:rPr>
                <w:sz w:val="20"/>
              </w:rPr>
              <w:t>I</w:t>
            </w:r>
            <w:r w:rsidR="008C259F">
              <w:rPr>
                <w:sz w:val="20"/>
              </w:rPr>
              <w:t>nstituto Mexicano del Seguro Social</w:t>
            </w:r>
          </w:p>
        </w:tc>
        <w:tc>
          <w:tcPr>
            <w:tcW w:w="6521" w:type="dxa"/>
            <w:shd w:val="clear" w:color="auto" w:fill="DBE5F1"/>
          </w:tcPr>
          <w:p w:rsidR="00247DFB" w:rsidRPr="00287B57" w:rsidRDefault="00247DFB" w:rsidP="004E3678">
            <w:pPr>
              <w:spacing w:before="60" w:after="240" w:line="264" w:lineRule="auto"/>
              <w:ind w:right="51"/>
              <w:jc w:val="both"/>
              <w:rPr>
                <w:sz w:val="20"/>
              </w:rPr>
            </w:pPr>
            <w:r w:rsidRPr="00287B57">
              <w:rPr>
                <w:sz w:val="20"/>
              </w:rPr>
              <w:t xml:space="preserve">Título de la </w:t>
            </w:r>
            <w:r w:rsidRPr="00E337DD">
              <w:rPr>
                <w:sz w:val="20"/>
              </w:rPr>
              <w:t>regulación</w:t>
            </w:r>
            <w:r w:rsidR="000B4345" w:rsidRPr="00FC530C">
              <w:rPr>
                <w:sz w:val="20"/>
              </w:rPr>
              <w:t xml:space="preserve">: </w:t>
            </w:r>
            <w:r w:rsidR="0048607F" w:rsidRPr="00FC530C">
              <w:t xml:space="preserve"> Aviso por el que se da a conocer el</w:t>
            </w:r>
            <w:r w:rsidR="0048607F">
              <w:t xml:space="preserve"> </w:t>
            </w:r>
            <w:r w:rsidR="0048607F" w:rsidRPr="007203E0">
              <w:t>ACDO.SA2.HCT.200716/202.P.DA, de fecha 2</w:t>
            </w:r>
            <w:r w:rsidR="004E3678">
              <w:t>0</w:t>
            </w:r>
            <w:bookmarkStart w:id="0" w:name="_GoBack"/>
            <w:bookmarkEnd w:id="0"/>
            <w:r w:rsidR="0048607F" w:rsidRPr="007203E0">
              <w:t xml:space="preserve"> de julio de 2016, mediante el cual se aprobó la Norma que establece las disposiciones para la enajenación de Bienes Inmuebles del Instituto Mexicano del Seguro Social</w:t>
            </w:r>
            <w:r w:rsidR="0048607F">
              <w:t>,</w:t>
            </w:r>
            <w:r w:rsidR="004E3678">
              <w:t xml:space="preserve"> </w:t>
            </w:r>
            <w:r w:rsidR="004E3678" w:rsidRPr="00895134">
              <w:rPr>
                <w:rFonts w:ascii="Arial" w:hAnsi="Arial"/>
                <w:sz w:val="20"/>
                <w:szCs w:val="20"/>
              </w:rPr>
              <w:t xml:space="preserve"> </w:t>
            </w:r>
            <w:r w:rsidR="004E3678" w:rsidRPr="00895134">
              <w:rPr>
                <w:rFonts w:ascii="Arial" w:hAnsi="Arial"/>
                <w:sz w:val="20"/>
                <w:szCs w:val="20"/>
              </w:rPr>
              <w:t>clave 1000-001-025.</w:t>
            </w:r>
          </w:p>
        </w:tc>
      </w:tr>
      <w:tr w:rsidR="00247DFB" w:rsidRPr="00287B57" w:rsidTr="00287B57">
        <w:trPr>
          <w:trHeight w:val="319"/>
        </w:trPr>
        <w:tc>
          <w:tcPr>
            <w:tcW w:w="3436" w:type="dxa"/>
            <w:shd w:val="clear" w:color="auto" w:fill="DBE5F1"/>
          </w:tcPr>
          <w:p w:rsidR="00247DFB" w:rsidRPr="00420DC8" w:rsidRDefault="00247DFB" w:rsidP="00287B57">
            <w:pPr>
              <w:spacing w:before="60" w:after="240" w:line="264" w:lineRule="auto"/>
              <w:ind w:right="51"/>
              <w:jc w:val="both"/>
              <w:rPr>
                <w:color w:val="7030A0"/>
                <w:sz w:val="20"/>
              </w:rPr>
            </w:pPr>
            <w:r w:rsidRPr="00287B57">
              <w:rPr>
                <w:sz w:val="20"/>
              </w:rPr>
              <w:t>Punto de contacto:</w:t>
            </w:r>
            <w:r w:rsidR="003D7FA7" w:rsidRPr="003D7FA7">
              <w:rPr>
                <w:color w:val="FF0000"/>
                <w:sz w:val="18"/>
                <w:szCs w:val="18"/>
              </w:rPr>
              <w:t xml:space="preserve"> </w:t>
            </w:r>
            <w:r w:rsidR="001679D7" w:rsidRPr="00420DC8">
              <w:rPr>
                <w:color w:val="7030A0"/>
                <w:sz w:val="18"/>
                <w:szCs w:val="18"/>
              </w:rPr>
              <w:t>Lic. Francisco Olmos Angeles</w:t>
            </w:r>
          </w:p>
          <w:p w:rsidR="00ED1A15" w:rsidRPr="00420DC8" w:rsidRDefault="00ED1A15" w:rsidP="00287B57">
            <w:pPr>
              <w:spacing w:before="60" w:after="240" w:line="264" w:lineRule="auto"/>
              <w:ind w:right="51"/>
              <w:jc w:val="both"/>
              <w:rPr>
                <w:color w:val="7030A0"/>
                <w:sz w:val="20"/>
              </w:rPr>
            </w:pPr>
            <w:r w:rsidRPr="00420DC8">
              <w:rPr>
                <w:color w:val="7030A0"/>
                <w:sz w:val="20"/>
              </w:rPr>
              <w:t>Teléfono</w:t>
            </w:r>
            <w:r w:rsidR="00D56491">
              <w:rPr>
                <w:color w:val="7030A0"/>
                <w:sz w:val="20"/>
              </w:rPr>
              <w:t xml:space="preserve"> 5629-0200 </w:t>
            </w:r>
            <w:r w:rsidR="001679D7">
              <w:rPr>
                <w:color w:val="7030A0"/>
                <w:sz w:val="20"/>
              </w:rPr>
              <w:t>extensión</w:t>
            </w:r>
            <w:r w:rsidR="00D56491">
              <w:rPr>
                <w:color w:val="7030A0"/>
                <w:sz w:val="20"/>
              </w:rPr>
              <w:t xml:space="preserve"> 132</w:t>
            </w:r>
            <w:r w:rsidR="001679D7">
              <w:rPr>
                <w:color w:val="7030A0"/>
                <w:sz w:val="20"/>
              </w:rPr>
              <w:t>47</w:t>
            </w:r>
          </w:p>
          <w:p w:rsidR="00ED1A15" w:rsidRPr="00420DC8" w:rsidRDefault="00ED1A15" w:rsidP="00287B57">
            <w:pPr>
              <w:spacing w:before="60" w:after="240" w:line="264" w:lineRule="auto"/>
              <w:ind w:right="51"/>
              <w:jc w:val="both"/>
              <w:rPr>
                <w:color w:val="7030A0"/>
                <w:sz w:val="20"/>
              </w:rPr>
            </w:pPr>
            <w:r w:rsidRPr="00420DC8">
              <w:rPr>
                <w:color w:val="7030A0"/>
                <w:sz w:val="20"/>
              </w:rPr>
              <w:t>Correo electrónico</w:t>
            </w:r>
            <w:r w:rsidR="007804EE" w:rsidRPr="00420DC8">
              <w:rPr>
                <w:color w:val="7030A0"/>
                <w:sz w:val="20"/>
              </w:rPr>
              <w:t xml:space="preserve"> </w:t>
            </w:r>
            <w:r w:rsidR="001679D7" w:rsidRPr="00420DC8">
              <w:rPr>
                <w:color w:val="7030A0"/>
                <w:sz w:val="20"/>
              </w:rPr>
              <w:t>francisco.olmos@imss.gob.mx</w:t>
            </w:r>
          </w:p>
          <w:p w:rsidR="00ED1A15" w:rsidRPr="00287B57" w:rsidRDefault="00ED1A15" w:rsidP="00257D5E">
            <w:pPr>
              <w:spacing w:before="60" w:after="240" w:line="264" w:lineRule="auto"/>
              <w:ind w:right="51"/>
              <w:jc w:val="both"/>
              <w:rPr>
                <w:sz w:val="20"/>
              </w:rPr>
            </w:pPr>
            <w:r w:rsidRPr="00420DC8">
              <w:rPr>
                <w:color w:val="7030A0"/>
                <w:sz w:val="20"/>
              </w:rPr>
              <w:t>Cargo</w:t>
            </w:r>
            <w:r w:rsidR="007804EE" w:rsidRPr="00420DC8">
              <w:rPr>
                <w:color w:val="7030A0"/>
                <w:sz w:val="20"/>
              </w:rPr>
              <w:t xml:space="preserve"> </w:t>
            </w:r>
            <w:r w:rsidR="001679D7" w:rsidRPr="00420DC8">
              <w:rPr>
                <w:color w:val="7030A0"/>
                <w:sz w:val="20"/>
              </w:rPr>
              <w:t xml:space="preserve">Titular </w:t>
            </w:r>
            <w:r w:rsidR="001679D7">
              <w:rPr>
                <w:color w:val="7030A0"/>
                <w:sz w:val="20"/>
              </w:rPr>
              <w:t>d</w:t>
            </w:r>
            <w:r w:rsidR="001679D7" w:rsidRPr="00420DC8">
              <w:rPr>
                <w:color w:val="7030A0"/>
                <w:sz w:val="20"/>
              </w:rPr>
              <w:t xml:space="preserve">e </w:t>
            </w:r>
            <w:r w:rsidR="001679D7">
              <w:rPr>
                <w:color w:val="7030A0"/>
                <w:sz w:val="20"/>
              </w:rPr>
              <w:t>l</w:t>
            </w:r>
            <w:r w:rsidR="001679D7" w:rsidRPr="00420DC8">
              <w:rPr>
                <w:color w:val="7030A0"/>
                <w:sz w:val="20"/>
              </w:rPr>
              <w:t>a División</w:t>
            </w:r>
            <w:r w:rsidR="00E16047">
              <w:rPr>
                <w:color w:val="7030A0"/>
                <w:sz w:val="20"/>
              </w:rPr>
              <w:t xml:space="preserve"> </w:t>
            </w:r>
            <w:r w:rsidR="00257D5E">
              <w:rPr>
                <w:color w:val="7030A0"/>
                <w:sz w:val="20"/>
              </w:rPr>
              <w:t>de</w:t>
            </w:r>
            <w:r w:rsidR="001679D7" w:rsidRPr="00420DC8">
              <w:rPr>
                <w:color w:val="7030A0"/>
                <w:sz w:val="20"/>
              </w:rPr>
              <w:t xml:space="preserve"> </w:t>
            </w:r>
            <w:r w:rsidR="001679D7">
              <w:rPr>
                <w:color w:val="7030A0"/>
                <w:sz w:val="20"/>
              </w:rPr>
              <w:t>Normatividad y Mejora Regulatoria</w:t>
            </w:r>
          </w:p>
        </w:tc>
        <w:tc>
          <w:tcPr>
            <w:tcW w:w="6521" w:type="dxa"/>
            <w:shd w:val="clear" w:color="auto" w:fill="DBE5F1"/>
          </w:tcPr>
          <w:p w:rsidR="00247DFB" w:rsidRPr="00287B57" w:rsidRDefault="00247DFB" w:rsidP="00287B57">
            <w:pPr>
              <w:spacing w:after="0" w:line="264" w:lineRule="auto"/>
              <w:ind w:right="51"/>
              <w:jc w:val="both"/>
              <w:rPr>
                <w:sz w:val="20"/>
              </w:rPr>
            </w:pPr>
            <w:r w:rsidRPr="00287B57">
              <w:rPr>
                <w:sz w:val="20"/>
              </w:rPr>
              <w:t>Fecha de recepción</w:t>
            </w:r>
            <w:r w:rsidR="006A7F28">
              <w:rPr>
                <w:sz w:val="20"/>
              </w:rPr>
              <w:t>: (</w:t>
            </w:r>
            <w:r w:rsidR="006A7F28" w:rsidRPr="006A7F28">
              <w:rPr>
                <w:color w:val="FF0000"/>
                <w:sz w:val="20"/>
              </w:rPr>
              <w:t xml:space="preserve">La genera el </w:t>
            </w:r>
            <w:r w:rsidR="00E56FAF">
              <w:rPr>
                <w:color w:val="FF0000"/>
                <w:sz w:val="20"/>
              </w:rPr>
              <w:t>sistema al momento de su captura</w:t>
            </w:r>
            <w:r w:rsidR="006A7F28" w:rsidRPr="006A7F28">
              <w:rPr>
                <w:color w:val="FF0000"/>
                <w:sz w:val="20"/>
              </w:rPr>
              <w:t xml:space="preserve"> oficial</w:t>
            </w:r>
            <w:r w:rsidR="006A7F28">
              <w:rPr>
                <w:sz w:val="20"/>
              </w:rPr>
              <w:t>)</w:t>
            </w:r>
          </w:p>
          <w:p w:rsidR="00247DFB" w:rsidRPr="00287B57" w:rsidRDefault="00247DFB" w:rsidP="00287B57">
            <w:pPr>
              <w:spacing w:after="0" w:line="264" w:lineRule="auto"/>
              <w:ind w:right="51"/>
              <w:jc w:val="both"/>
              <w:rPr>
                <w:sz w:val="20"/>
              </w:rPr>
            </w:pPr>
            <w:r w:rsidRPr="00287B57">
              <w:rPr>
                <w:sz w:val="20"/>
              </w:rPr>
              <w:t>Fecha de envío:</w:t>
            </w:r>
            <w:r w:rsidR="00E56FAF" w:rsidRPr="006A7F28">
              <w:rPr>
                <w:color w:val="FF0000"/>
                <w:sz w:val="20"/>
              </w:rPr>
              <w:t xml:space="preserve"> La genera el </w:t>
            </w:r>
            <w:r w:rsidR="00E56FAF">
              <w:rPr>
                <w:color w:val="FF0000"/>
                <w:sz w:val="20"/>
              </w:rPr>
              <w:t>sistema al momento de su captura</w:t>
            </w:r>
            <w:r w:rsidR="00E56FAF" w:rsidRPr="006A7F28">
              <w:rPr>
                <w:color w:val="FF0000"/>
                <w:sz w:val="20"/>
              </w:rPr>
              <w:t xml:space="preserve"> oficial</w:t>
            </w:r>
          </w:p>
        </w:tc>
      </w:tr>
    </w:tbl>
    <w:p w:rsidR="00247DFB" w:rsidRPr="00AC4A42" w:rsidRDefault="00247DFB" w:rsidP="00AC4A42">
      <w:pPr>
        <w:spacing w:before="120" w:after="120" w:line="264" w:lineRule="auto"/>
        <w:ind w:right="51"/>
        <w:jc w:val="both"/>
        <w:rPr>
          <w:sz w:val="20"/>
        </w:rPr>
      </w:pPr>
    </w:p>
    <w:p w:rsidR="00247DFB" w:rsidRDefault="00247DFB" w:rsidP="008161C7">
      <w:pPr>
        <w:spacing w:after="0" w:line="240" w:lineRule="auto"/>
        <w:rPr>
          <w:b/>
          <w:sz w:val="2"/>
          <w:szCs w:val="20"/>
        </w:rPr>
      </w:pPr>
    </w:p>
    <w:p w:rsidR="00247DFB" w:rsidRPr="008A2129" w:rsidRDefault="00247DFB" w:rsidP="008161C7">
      <w:pPr>
        <w:spacing w:after="0" w:line="240" w:lineRule="auto"/>
        <w:rPr>
          <w:b/>
          <w:sz w:val="2"/>
          <w:szCs w:val="20"/>
        </w:rPr>
      </w:pPr>
    </w:p>
    <w:p w:rsidR="00247DFB" w:rsidRPr="00833BA5" w:rsidRDefault="00C033F2" w:rsidP="00833BA5">
      <w:pPr>
        <w:shd w:val="clear" w:color="auto" w:fill="548DD4"/>
        <w:spacing w:after="120" w:line="240" w:lineRule="auto"/>
        <w:ind w:firstLine="284"/>
        <w:rPr>
          <w:b/>
          <w:color w:val="FFFFFF"/>
          <w:sz w:val="20"/>
          <w:szCs w:val="20"/>
        </w:rPr>
      </w:pPr>
      <w:r>
        <w:rPr>
          <w:noProof/>
          <w:lang w:eastAsia="es-MX"/>
        </w:rPr>
        <mc:AlternateContent>
          <mc:Choice Requires="wps">
            <w:drawing>
              <wp:anchor distT="0" distB="0" distL="114300" distR="114300" simplePos="0" relativeHeight="251655168" behindDoc="0" locked="0" layoutInCell="1" allowOverlap="1">
                <wp:simplePos x="0" y="0"/>
                <wp:positionH relativeFrom="column">
                  <wp:posOffset>-38735</wp:posOffset>
                </wp:positionH>
                <wp:positionV relativeFrom="paragraph">
                  <wp:posOffset>217170</wp:posOffset>
                </wp:positionV>
                <wp:extent cx="6374765" cy="215265"/>
                <wp:effectExtent l="8890" t="7620" r="7620" b="571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4765"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5pt;margin-top:17.1pt;width:501.95pt;height:1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" filled="f"/>
            </w:pict>
          </mc:Fallback>
        </mc:AlternateContent>
      </w:r>
      <w:r w:rsidR="00247DFB">
        <w:rPr>
          <w:b/>
          <w:noProof/>
          <w:color w:val="FFFFFF"/>
          <w:sz w:val="20"/>
          <w:szCs w:val="20"/>
          <w:lang w:eastAsia="es-MX"/>
        </w:rPr>
        <w:t>I.- DEFINICIÓN DEL PROBLEMA Y OBJETIVOS GENERALES DE LA REGULACIÓN</w:t>
      </w:r>
    </w:p>
    <w:p w:rsidR="00247DFB" w:rsidRDefault="00247DFB" w:rsidP="00CF4BB4">
      <w:pPr>
        <w:spacing w:before="60" w:after="240" w:line="264" w:lineRule="auto"/>
        <w:ind w:right="51"/>
        <w:jc w:val="both"/>
        <w:rPr>
          <w:sz w:val="20"/>
        </w:rPr>
      </w:pPr>
      <w:r w:rsidRPr="00576F74">
        <w:rPr>
          <w:sz w:val="20"/>
        </w:rPr>
        <w:t xml:space="preserve">1. </w:t>
      </w:r>
      <w:r w:rsidRPr="00ED1E06">
        <w:rPr>
          <w:sz w:val="20"/>
        </w:rPr>
        <w:t>Explique brevemente en qué consiste la regulación propuesta así como sus objetivos generales.</w:t>
      </w:r>
    </w:p>
    <w:p w:rsidR="00C64A5F" w:rsidRPr="00E337DD" w:rsidRDefault="00707D96" w:rsidP="007804EE">
      <w:pPr>
        <w:pStyle w:val="NormalWeb"/>
        <w:jc w:val="both"/>
        <w:rPr>
          <w:rFonts w:ascii="Calibri" w:eastAsia="Calibri" w:hAnsi="Calibri"/>
          <w:sz w:val="20"/>
          <w:szCs w:val="22"/>
          <w:lang w:eastAsia="en-US"/>
        </w:rPr>
      </w:pPr>
      <w:r w:rsidRPr="00E337DD">
        <w:rPr>
          <w:rFonts w:ascii="Calibri" w:eastAsia="Calibri" w:hAnsi="Calibri"/>
          <w:sz w:val="20"/>
          <w:szCs w:val="22"/>
          <w:lang w:eastAsia="en-US"/>
        </w:rPr>
        <w:t xml:space="preserve">El Consejo Técnico del IMSS, con fundamento en lo dispuesto por los artículos 263 y 264, fracciones III, XIV y XVII de la Ley del Seguro Social; </w:t>
      </w:r>
      <w:r w:rsidR="00C64A5F" w:rsidRPr="00E337DD">
        <w:rPr>
          <w:rFonts w:ascii="Calibri" w:eastAsia="Calibri" w:hAnsi="Calibri"/>
          <w:sz w:val="20"/>
          <w:szCs w:val="22"/>
          <w:lang w:eastAsia="en-US"/>
        </w:rPr>
        <w:t>5, 57 y 58</w:t>
      </w:r>
      <w:r w:rsidRPr="00E337DD">
        <w:rPr>
          <w:rFonts w:ascii="Calibri" w:eastAsia="Calibri" w:hAnsi="Calibri"/>
          <w:sz w:val="20"/>
          <w:szCs w:val="22"/>
          <w:lang w:eastAsia="en-US"/>
        </w:rPr>
        <w:t>, fracciones XI</w:t>
      </w:r>
      <w:r w:rsidR="00C64A5F" w:rsidRPr="00E337DD">
        <w:rPr>
          <w:rFonts w:ascii="Calibri" w:eastAsia="Calibri" w:hAnsi="Calibri"/>
          <w:sz w:val="20"/>
          <w:szCs w:val="22"/>
          <w:lang w:eastAsia="en-US"/>
        </w:rPr>
        <w:t xml:space="preserve">V, de la Ley Federal de las Entidades Paraestatales; 116, 117 y Décimo Cuarto Transitorio, de la Ley General de Bienes Nacionales; así como 31, fracción XVI, del Reglamento </w:t>
      </w:r>
      <w:r w:rsidRPr="00E337DD">
        <w:rPr>
          <w:rFonts w:ascii="Calibri" w:eastAsia="Calibri" w:hAnsi="Calibri"/>
          <w:sz w:val="20"/>
          <w:szCs w:val="22"/>
          <w:lang w:eastAsia="en-US"/>
        </w:rPr>
        <w:t>Interior del Instituto Mexicano del Seguro Social</w:t>
      </w:r>
      <w:r w:rsidR="00C64A5F" w:rsidRPr="00E337DD">
        <w:rPr>
          <w:rFonts w:ascii="Calibri" w:eastAsia="Calibri" w:hAnsi="Calibri"/>
          <w:sz w:val="20"/>
          <w:szCs w:val="22"/>
          <w:lang w:eastAsia="en-US"/>
        </w:rPr>
        <w:t xml:space="preserve">; y en términos del oficio 353 del 12 de julio de 2016, signado por el Titular de la Dirección de Administración, así como el dictamen del Comité del mismo nombre del propio Órgano de Gobierno, en reunión celebrada en la fecha descrita, </w:t>
      </w:r>
      <w:r w:rsidRPr="00E337DD">
        <w:rPr>
          <w:rFonts w:ascii="Calibri" w:eastAsia="Calibri" w:hAnsi="Calibri"/>
          <w:sz w:val="20"/>
          <w:szCs w:val="22"/>
          <w:lang w:eastAsia="en-US"/>
        </w:rPr>
        <w:t xml:space="preserve">aprobó </w:t>
      </w:r>
      <w:r w:rsidR="007723E8" w:rsidRPr="00E337DD">
        <w:rPr>
          <w:rFonts w:ascii="Calibri" w:eastAsia="Calibri" w:hAnsi="Calibri"/>
          <w:sz w:val="20"/>
          <w:szCs w:val="22"/>
          <w:lang w:eastAsia="en-US"/>
        </w:rPr>
        <w:t>mediante Acuerdo ACDO.SA2.HCT.</w:t>
      </w:r>
      <w:r w:rsidR="00C64A5F" w:rsidRPr="00E337DD">
        <w:rPr>
          <w:rFonts w:ascii="Calibri" w:eastAsia="Calibri" w:hAnsi="Calibri"/>
          <w:sz w:val="20"/>
          <w:szCs w:val="22"/>
          <w:lang w:eastAsia="en-US"/>
        </w:rPr>
        <w:t>200716/202.P.DA</w:t>
      </w:r>
      <w:r w:rsidR="007723E8" w:rsidRPr="00E337DD">
        <w:rPr>
          <w:rFonts w:ascii="Calibri" w:eastAsia="Calibri" w:hAnsi="Calibri"/>
          <w:sz w:val="20"/>
          <w:szCs w:val="22"/>
          <w:lang w:eastAsia="en-US"/>
        </w:rPr>
        <w:t>, de fecha 2</w:t>
      </w:r>
      <w:r w:rsidR="00C64A5F" w:rsidRPr="00E337DD">
        <w:rPr>
          <w:rFonts w:ascii="Calibri" w:eastAsia="Calibri" w:hAnsi="Calibri"/>
          <w:sz w:val="20"/>
          <w:szCs w:val="22"/>
          <w:lang w:eastAsia="en-US"/>
        </w:rPr>
        <w:t>0</w:t>
      </w:r>
      <w:r w:rsidR="007723E8" w:rsidRPr="00E337DD">
        <w:rPr>
          <w:rFonts w:ascii="Calibri" w:eastAsia="Calibri" w:hAnsi="Calibri"/>
          <w:sz w:val="20"/>
          <w:szCs w:val="22"/>
          <w:lang w:eastAsia="en-US"/>
        </w:rPr>
        <w:t xml:space="preserve"> de ju</w:t>
      </w:r>
      <w:r w:rsidR="00C64A5F" w:rsidRPr="00E337DD">
        <w:rPr>
          <w:rFonts w:ascii="Calibri" w:eastAsia="Calibri" w:hAnsi="Calibri"/>
          <w:sz w:val="20"/>
          <w:szCs w:val="22"/>
          <w:lang w:eastAsia="en-US"/>
        </w:rPr>
        <w:t>l</w:t>
      </w:r>
      <w:r w:rsidR="007723E8" w:rsidRPr="00E337DD">
        <w:rPr>
          <w:rFonts w:ascii="Calibri" w:eastAsia="Calibri" w:hAnsi="Calibri"/>
          <w:sz w:val="20"/>
          <w:szCs w:val="22"/>
          <w:lang w:eastAsia="en-US"/>
        </w:rPr>
        <w:t>io de 201</w:t>
      </w:r>
      <w:r w:rsidR="00C64A5F" w:rsidRPr="00E337DD">
        <w:rPr>
          <w:rFonts w:ascii="Calibri" w:eastAsia="Calibri" w:hAnsi="Calibri"/>
          <w:sz w:val="20"/>
          <w:szCs w:val="22"/>
          <w:lang w:eastAsia="en-US"/>
        </w:rPr>
        <w:t>6</w:t>
      </w:r>
      <w:r w:rsidR="007723E8" w:rsidRPr="00E337DD">
        <w:rPr>
          <w:rFonts w:ascii="Calibri" w:eastAsia="Calibri" w:hAnsi="Calibri"/>
          <w:sz w:val="20"/>
          <w:szCs w:val="22"/>
          <w:lang w:eastAsia="en-US"/>
        </w:rPr>
        <w:t xml:space="preserve">, </w:t>
      </w:r>
      <w:r w:rsidRPr="00E337DD">
        <w:rPr>
          <w:rFonts w:ascii="Calibri" w:eastAsia="Calibri" w:hAnsi="Calibri"/>
          <w:sz w:val="20"/>
          <w:szCs w:val="22"/>
          <w:lang w:eastAsia="en-US"/>
        </w:rPr>
        <w:t>la “Norma</w:t>
      </w:r>
      <w:r w:rsidR="00C64A5F" w:rsidRPr="00E337DD">
        <w:rPr>
          <w:rFonts w:ascii="Calibri" w:eastAsia="Calibri" w:hAnsi="Calibri"/>
          <w:sz w:val="20"/>
          <w:szCs w:val="22"/>
          <w:lang w:eastAsia="en-US"/>
        </w:rPr>
        <w:t xml:space="preserve"> que establece las disposiciones para la enajenación de Bienes Inmuebles del Instituto Mexicano del Seguro Social”</w:t>
      </w:r>
      <w:r w:rsidRPr="00E337DD">
        <w:rPr>
          <w:rFonts w:ascii="Calibri" w:eastAsia="Calibri" w:hAnsi="Calibri"/>
          <w:sz w:val="20"/>
          <w:szCs w:val="22"/>
          <w:lang w:eastAsia="en-US"/>
        </w:rPr>
        <w:t xml:space="preserve">, </w:t>
      </w:r>
      <w:r w:rsidR="00DC2CF9" w:rsidRPr="00E337DD">
        <w:rPr>
          <w:rFonts w:ascii="Calibri" w:eastAsia="Calibri" w:hAnsi="Calibri"/>
          <w:sz w:val="20"/>
          <w:szCs w:val="22"/>
          <w:lang w:eastAsia="en-US"/>
        </w:rPr>
        <w:t xml:space="preserve">cuyo objeto es establecer las disposiciones </w:t>
      </w:r>
      <w:r w:rsidR="00C64A5F" w:rsidRPr="00E337DD">
        <w:rPr>
          <w:rFonts w:ascii="Calibri" w:eastAsia="Calibri" w:hAnsi="Calibri"/>
          <w:sz w:val="20"/>
          <w:szCs w:val="22"/>
          <w:lang w:eastAsia="en-US"/>
        </w:rPr>
        <w:t>aplicables para el proceso de enajenación de bienes inmuebles propiedad del IMSS, que se deberán observar al realizar lo</w:t>
      </w:r>
      <w:r w:rsidR="007C5650" w:rsidRPr="00E337DD">
        <w:rPr>
          <w:rFonts w:ascii="Calibri" w:eastAsia="Calibri" w:hAnsi="Calibri"/>
          <w:sz w:val="20"/>
          <w:szCs w:val="22"/>
          <w:lang w:eastAsia="en-US"/>
        </w:rPr>
        <w:t>s</w:t>
      </w:r>
      <w:r w:rsidR="00C64A5F" w:rsidRPr="00E337DD">
        <w:rPr>
          <w:rFonts w:ascii="Calibri" w:eastAsia="Calibri" w:hAnsi="Calibri"/>
          <w:sz w:val="20"/>
          <w:szCs w:val="22"/>
          <w:lang w:eastAsia="en-US"/>
        </w:rPr>
        <w:t xml:space="preserve"> procedimientos de licitación pública, subasta pública y adjudicación directa</w:t>
      </w:r>
      <w:r w:rsidR="007C5650" w:rsidRPr="00E337DD">
        <w:rPr>
          <w:rFonts w:ascii="Calibri" w:eastAsia="Calibri" w:hAnsi="Calibri"/>
          <w:sz w:val="20"/>
          <w:szCs w:val="22"/>
          <w:lang w:eastAsia="en-US"/>
        </w:rPr>
        <w:t>.</w:t>
      </w:r>
    </w:p>
    <w:tbl>
      <w:tblPr>
        <w:tblW w:w="0" w:type="auto"/>
        <w:jc w:val="center"/>
        <w:tblInd w:w="-4693" w:type="dxa"/>
        <w:tblBorders>
          <w:top w:val="single" w:sz="4" w:space="0" w:color="000000"/>
          <w:left w:val="single" w:sz="4" w:space="0" w:color="000000"/>
          <w:bottom w:val="single" w:sz="4"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665"/>
        <w:gridCol w:w="2438"/>
      </w:tblGrid>
      <w:tr w:rsidR="00247DFB" w:rsidRPr="00287B57" w:rsidTr="00287B57">
        <w:trPr>
          <w:trHeight w:val="204"/>
          <w:jc w:val="center"/>
        </w:trPr>
        <w:tc>
          <w:tcPr>
            <w:tcW w:w="7665" w:type="dxa"/>
            <w:vMerge w:val="restart"/>
            <w:tcBorders>
              <w:right w:val="single" w:sz="12" w:space="0" w:color="000000"/>
            </w:tcBorders>
          </w:tcPr>
          <w:p w:rsidR="00247DFB" w:rsidRPr="00287B57" w:rsidRDefault="00C033F2" w:rsidP="00287B57">
            <w:pPr>
              <w:tabs>
                <w:tab w:val="left" w:pos="9923"/>
              </w:tabs>
              <w:spacing w:after="240" w:line="240" w:lineRule="auto"/>
              <w:ind w:right="51"/>
              <w:jc w:val="both"/>
              <w:rPr>
                <w:noProof/>
                <w:sz w:val="20"/>
                <w:lang w:eastAsia="es-MX"/>
              </w:rPr>
            </w:pPr>
            <w:r>
              <w:rPr>
                <w:noProof/>
                <w:lang w:eastAsia="es-MX"/>
              </w:rPr>
              <mc:AlternateContent>
                <mc:Choice Requires="wps">
                  <w:drawing>
                    <wp:anchor distT="0" distB="0" distL="120396" distR="115788" simplePos="0" relativeHeight="251657216" behindDoc="0" locked="0" layoutInCell="1" allowOverlap="1" wp14:anchorId="39CC9645" wp14:editId="78AD9DF8">
                      <wp:simplePos x="0" y="0"/>
                      <wp:positionH relativeFrom="column">
                        <wp:posOffset>4724146</wp:posOffset>
                      </wp:positionH>
                      <wp:positionV relativeFrom="paragraph">
                        <wp:posOffset>86360</wp:posOffset>
                      </wp:positionV>
                      <wp:extent cx="151130" cy="136525"/>
                      <wp:effectExtent l="0" t="0" r="20320" b="15875"/>
                      <wp:wrapNone/>
                      <wp:docPr id="8" name="25 Combin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190" cy="214314"/>
                              </a:xfrm>
                              <a:prstGeom prst="flowChartMerge">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25 Combinar" o:spid="_x0000_s1026" type="#_x0000_t128" style="position:absolute;margin-left:372pt;margin-top:6.8pt;width:11.9pt;height:10.75pt;z-index:251657216;visibility:visible;mso-wrap-style:square;mso-width-percent:0;mso-height-percent:0;mso-wrap-distance-left:9.48pt;mso-wrap-distance-top:0;mso-wrap-distance-right:3.21633mm;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" fillcolor="#a5a5a5 [2092]" strokecolor="#243f60 [1604]" strokeweight="2pt"/>
                  </w:pict>
                </mc:Fallback>
              </mc:AlternateContent>
            </w:r>
            <w:r w:rsidR="00247DFB" w:rsidRPr="00287B57">
              <w:rPr>
                <w:noProof/>
                <w:sz w:val="20"/>
                <w:lang w:eastAsia="es-MX"/>
              </w:rPr>
              <w:t>2. Indique si se solicita la no publicación del anteproyecto en los términos del artículo 69-K de la Ley Federal de Procedimiento Administrativo.</w:t>
            </w:r>
            <w:r w:rsidR="00247DFB">
              <w:rPr>
                <w:noProof/>
                <w:sz w:val="20"/>
                <w:lang w:eastAsia="es-MX"/>
              </w:rPr>
              <w:t>(en caso de contestar afirmativamente justifique)</w:t>
            </w:r>
          </w:p>
        </w:tc>
        <w:tc>
          <w:tcPr>
            <w:tcW w:w="2438" w:type="dxa"/>
            <w:tcBorders>
              <w:top w:val="single" w:sz="12" w:space="0" w:color="000000"/>
              <w:left w:val="single" w:sz="12" w:space="0" w:color="000000"/>
              <w:bottom w:val="single" w:sz="12" w:space="0" w:color="000000"/>
            </w:tcBorders>
            <w:shd w:val="clear" w:color="auto" w:fill="C6D9F1"/>
          </w:tcPr>
          <w:p w:rsidR="00247DFB" w:rsidRPr="00287B57" w:rsidRDefault="00247DFB" w:rsidP="00287B57">
            <w:pPr>
              <w:spacing w:after="0" w:line="240" w:lineRule="auto"/>
              <w:jc w:val="center"/>
              <w:rPr>
                <w:b/>
                <w:sz w:val="12"/>
              </w:rPr>
            </w:pPr>
            <w:r w:rsidRPr="00287B57">
              <w:rPr>
                <w:b/>
                <w:sz w:val="20"/>
              </w:rPr>
              <w:t>Seleccione</w:t>
            </w:r>
          </w:p>
        </w:tc>
      </w:tr>
      <w:tr w:rsidR="00247DFB" w:rsidRPr="00287B57" w:rsidTr="00287B57">
        <w:trPr>
          <w:trHeight w:val="271"/>
          <w:jc w:val="center"/>
        </w:trPr>
        <w:tc>
          <w:tcPr>
            <w:tcW w:w="7665" w:type="dxa"/>
            <w:vMerge/>
            <w:tcBorders>
              <w:right w:val="single" w:sz="12" w:space="0" w:color="000000"/>
            </w:tcBorders>
          </w:tcPr>
          <w:p w:rsidR="00247DFB" w:rsidRPr="00287B57" w:rsidRDefault="00247DFB" w:rsidP="00287B57">
            <w:pPr>
              <w:spacing w:after="0" w:line="240" w:lineRule="auto"/>
              <w:ind w:left="-108" w:right="-108"/>
              <w:jc w:val="center"/>
              <w:rPr>
                <w:color w:val="595959"/>
                <w:sz w:val="16"/>
              </w:rPr>
            </w:pPr>
          </w:p>
        </w:tc>
        <w:tc>
          <w:tcPr>
            <w:tcW w:w="2438" w:type="dxa"/>
            <w:tcBorders>
              <w:top w:val="single" w:sz="12" w:space="0" w:color="000000"/>
              <w:left w:val="single" w:sz="12" w:space="0" w:color="000000"/>
              <w:bottom w:val="single" w:sz="12" w:space="0" w:color="000000"/>
            </w:tcBorders>
            <w:vAlign w:val="center"/>
          </w:tcPr>
          <w:p w:rsidR="00247DFB" w:rsidRPr="00287B57" w:rsidRDefault="00247DFB" w:rsidP="00287B57">
            <w:pPr>
              <w:tabs>
                <w:tab w:val="left" w:pos="9923"/>
              </w:tabs>
              <w:spacing w:after="0" w:line="240" w:lineRule="auto"/>
              <w:ind w:right="51"/>
              <w:jc w:val="center"/>
              <w:rPr>
                <w:noProof/>
                <w:sz w:val="20"/>
                <w:lang w:eastAsia="es-MX"/>
              </w:rPr>
            </w:pPr>
            <w:r w:rsidRPr="00287B57">
              <w:rPr>
                <w:noProof/>
                <w:sz w:val="20"/>
                <w:lang w:eastAsia="es-MX"/>
              </w:rPr>
              <w:t>Sí</w:t>
            </w:r>
          </w:p>
        </w:tc>
      </w:tr>
      <w:tr w:rsidR="00247DFB" w:rsidRPr="00287B57" w:rsidTr="00287B57">
        <w:trPr>
          <w:trHeight w:val="201"/>
          <w:jc w:val="center"/>
        </w:trPr>
        <w:tc>
          <w:tcPr>
            <w:tcW w:w="7665" w:type="dxa"/>
            <w:vMerge/>
            <w:tcBorders>
              <w:right w:val="single" w:sz="12" w:space="0" w:color="000000"/>
            </w:tcBorders>
          </w:tcPr>
          <w:p w:rsidR="00247DFB" w:rsidRPr="00287B57" w:rsidRDefault="00247DFB" w:rsidP="00287B57">
            <w:pPr>
              <w:spacing w:after="0" w:line="240" w:lineRule="auto"/>
              <w:ind w:left="-108" w:right="-108"/>
              <w:jc w:val="center"/>
              <w:rPr>
                <w:color w:val="595959"/>
                <w:sz w:val="16"/>
              </w:rPr>
            </w:pPr>
          </w:p>
        </w:tc>
        <w:tc>
          <w:tcPr>
            <w:tcW w:w="2438" w:type="dxa"/>
            <w:tcBorders>
              <w:top w:val="single" w:sz="12" w:space="0" w:color="000000"/>
              <w:left w:val="single" w:sz="12" w:space="0" w:color="000000"/>
              <w:bottom w:val="single" w:sz="12" w:space="0" w:color="000000"/>
            </w:tcBorders>
            <w:vAlign w:val="center"/>
          </w:tcPr>
          <w:p w:rsidR="00247DFB" w:rsidRPr="00287B57" w:rsidRDefault="00247DFB" w:rsidP="00287B57">
            <w:pPr>
              <w:tabs>
                <w:tab w:val="left" w:pos="9923"/>
              </w:tabs>
              <w:spacing w:after="0" w:line="240" w:lineRule="auto"/>
              <w:ind w:right="51"/>
              <w:jc w:val="center"/>
              <w:rPr>
                <w:noProof/>
                <w:sz w:val="20"/>
                <w:lang w:eastAsia="es-MX"/>
              </w:rPr>
            </w:pPr>
            <w:r w:rsidRPr="00287B57">
              <w:rPr>
                <w:noProof/>
                <w:sz w:val="20"/>
                <w:lang w:eastAsia="es-MX"/>
              </w:rPr>
              <w:t>No</w:t>
            </w:r>
            <w:r w:rsidR="007804EE">
              <w:rPr>
                <w:noProof/>
                <w:sz w:val="20"/>
                <w:lang w:eastAsia="es-MX"/>
              </w:rPr>
              <w:t xml:space="preserve"> </w:t>
            </w:r>
            <w:r w:rsidR="007804EE" w:rsidRPr="009C6931">
              <w:rPr>
                <w:noProof/>
                <w:color w:val="FF0000"/>
                <w:sz w:val="20"/>
                <w:lang w:eastAsia="es-MX"/>
              </w:rPr>
              <w:t>X</w:t>
            </w:r>
          </w:p>
        </w:tc>
      </w:tr>
    </w:tbl>
    <w:p w:rsidR="00247DFB" w:rsidRDefault="00247DFB" w:rsidP="00ED1E06">
      <w:pPr>
        <w:tabs>
          <w:tab w:val="left" w:pos="9923"/>
        </w:tabs>
        <w:spacing w:after="0" w:line="240" w:lineRule="auto"/>
        <w:ind w:right="51"/>
        <w:jc w:val="both"/>
        <w:rPr>
          <w:noProof/>
          <w:sz w:val="24"/>
          <w:szCs w:val="24"/>
          <w:lang w:eastAsia="es-MX"/>
        </w:rPr>
      </w:pPr>
    </w:p>
    <w:tbl>
      <w:tblPr>
        <w:tblW w:w="0" w:type="auto"/>
        <w:jc w:val="center"/>
        <w:tblInd w:w="-4693" w:type="dxa"/>
        <w:tblBorders>
          <w:top w:val="single" w:sz="4" w:space="0" w:color="000000"/>
          <w:left w:val="single" w:sz="4" w:space="0" w:color="000000"/>
          <w:bottom w:val="single" w:sz="4"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7665"/>
        <w:gridCol w:w="2438"/>
      </w:tblGrid>
      <w:tr w:rsidR="00247DFB" w:rsidRPr="00287B57" w:rsidTr="00287B57">
        <w:trPr>
          <w:trHeight w:val="204"/>
          <w:jc w:val="center"/>
        </w:trPr>
        <w:tc>
          <w:tcPr>
            <w:tcW w:w="7665" w:type="dxa"/>
            <w:vMerge w:val="restart"/>
            <w:tcBorders>
              <w:right w:val="single" w:sz="12" w:space="0" w:color="000000"/>
            </w:tcBorders>
          </w:tcPr>
          <w:p w:rsidR="00247DFB" w:rsidRDefault="00C033F2" w:rsidP="00287B57">
            <w:pPr>
              <w:tabs>
                <w:tab w:val="left" w:pos="9923"/>
              </w:tabs>
              <w:spacing w:after="0" w:line="240" w:lineRule="auto"/>
              <w:ind w:right="51"/>
              <w:jc w:val="both"/>
              <w:rPr>
                <w:noProof/>
                <w:sz w:val="20"/>
                <w:lang w:eastAsia="es-MX"/>
              </w:rPr>
            </w:pPr>
            <w:r>
              <w:rPr>
                <w:noProof/>
                <w:lang w:eastAsia="es-MX"/>
              </w:rPr>
              <mc:AlternateContent>
                <mc:Choice Requires="wps">
                  <w:drawing>
                    <wp:anchor distT="0" distB="0" distL="120396" distR="115788" simplePos="0" relativeHeight="251658240" behindDoc="0" locked="0" layoutInCell="1" allowOverlap="1" wp14:anchorId="136812EB" wp14:editId="1AAA7899">
                      <wp:simplePos x="0" y="0"/>
                      <wp:positionH relativeFrom="column">
                        <wp:posOffset>4724146</wp:posOffset>
                      </wp:positionH>
                      <wp:positionV relativeFrom="paragraph">
                        <wp:posOffset>90805</wp:posOffset>
                      </wp:positionV>
                      <wp:extent cx="151130" cy="136525"/>
                      <wp:effectExtent l="0" t="0" r="20320" b="15875"/>
                      <wp:wrapNone/>
                      <wp:docPr id="9" name="25 Combin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190" cy="214314"/>
                              </a:xfrm>
                              <a:prstGeom prst="flowChartMerge">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id="25 Combinar" o:spid="_x0000_s1026" type="#_x0000_t128" style="position:absolute;margin-left:372pt;margin-top:7.15pt;width:11.9pt;height:10.75pt;z-index:251658240;visibility:visible;mso-wrap-style:square;mso-width-percent:0;mso-height-percent:0;mso-wrap-distance-left:9.48pt;mso-wrap-distance-top:0;mso-wrap-distance-right:3.21633mm;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" fillcolor="#a5a5a5 [2092]" strokecolor="#243f60 [1604]" strokeweight="2pt"/>
                  </w:pict>
                </mc:Fallback>
              </mc:AlternateContent>
            </w:r>
            <w:r w:rsidR="00247DFB" w:rsidRPr="00287B57">
              <w:rPr>
                <w:noProof/>
                <w:sz w:val="20"/>
                <w:lang w:eastAsia="es-MX"/>
              </w:rPr>
              <w:t>3. Indique si la regulación propuesta requiere la constancia de publicidad a que se refiere el artículo 10 de la Ley Federal de Transparencia y Acceso a la Información Pública Gubernamental y el artículo 25 de su Reglamento.</w:t>
            </w:r>
          </w:p>
          <w:p w:rsidR="007723E8" w:rsidRPr="00287B57" w:rsidRDefault="007723E8" w:rsidP="00287B57">
            <w:pPr>
              <w:tabs>
                <w:tab w:val="left" w:pos="9923"/>
              </w:tabs>
              <w:spacing w:after="0" w:line="240" w:lineRule="auto"/>
              <w:ind w:right="51"/>
              <w:jc w:val="both"/>
              <w:rPr>
                <w:b/>
                <w:noProof/>
                <w:sz w:val="20"/>
                <w:lang w:eastAsia="es-MX"/>
              </w:rPr>
            </w:pPr>
          </w:p>
        </w:tc>
        <w:tc>
          <w:tcPr>
            <w:tcW w:w="2438" w:type="dxa"/>
            <w:tcBorders>
              <w:top w:val="single" w:sz="12" w:space="0" w:color="000000"/>
              <w:left w:val="single" w:sz="12" w:space="0" w:color="000000"/>
              <w:bottom w:val="single" w:sz="12" w:space="0" w:color="000000"/>
            </w:tcBorders>
            <w:shd w:val="clear" w:color="auto" w:fill="C6D9F1"/>
          </w:tcPr>
          <w:p w:rsidR="00247DFB" w:rsidRPr="00287B57" w:rsidRDefault="00247DFB" w:rsidP="00287B57">
            <w:pPr>
              <w:spacing w:after="0" w:line="240" w:lineRule="auto"/>
              <w:jc w:val="center"/>
              <w:rPr>
                <w:b/>
                <w:sz w:val="12"/>
              </w:rPr>
            </w:pPr>
            <w:r w:rsidRPr="00287B57">
              <w:rPr>
                <w:b/>
                <w:sz w:val="20"/>
              </w:rPr>
              <w:t>Seleccione</w:t>
            </w:r>
          </w:p>
        </w:tc>
      </w:tr>
      <w:tr w:rsidR="00247DFB" w:rsidRPr="00287B57" w:rsidTr="00287B57">
        <w:trPr>
          <w:trHeight w:val="271"/>
          <w:jc w:val="center"/>
        </w:trPr>
        <w:tc>
          <w:tcPr>
            <w:tcW w:w="7665" w:type="dxa"/>
            <w:vMerge/>
            <w:tcBorders>
              <w:right w:val="single" w:sz="12" w:space="0" w:color="000000"/>
            </w:tcBorders>
          </w:tcPr>
          <w:p w:rsidR="00247DFB" w:rsidRPr="00287B57" w:rsidRDefault="00247DFB" w:rsidP="00287B57">
            <w:pPr>
              <w:spacing w:after="0" w:line="240" w:lineRule="auto"/>
              <w:ind w:left="-108" w:right="-108"/>
              <w:jc w:val="center"/>
              <w:rPr>
                <w:color w:val="595959"/>
                <w:sz w:val="16"/>
              </w:rPr>
            </w:pPr>
          </w:p>
        </w:tc>
        <w:tc>
          <w:tcPr>
            <w:tcW w:w="2438" w:type="dxa"/>
            <w:tcBorders>
              <w:top w:val="single" w:sz="12" w:space="0" w:color="000000"/>
              <w:left w:val="single" w:sz="12" w:space="0" w:color="000000"/>
              <w:bottom w:val="single" w:sz="12" w:space="0" w:color="000000"/>
            </w:tcBorders>
            <w:vAlign w:val="center"/>
          </w:tcPr>
          <w:p w:rsidR="00247DFB" w:rsidRPr="00287B57" w:rsidRDefault="00247DFB" w:rsidP="00287B57">
            <w:pPr>
              <w:tabs>
                <w:tab w:val="left" w:pos="9923"/>
              </w:tabs>
              <w:spacing w:after="0" w:line="240" w:lineRule="auto"/>
              <w:ind w:right="51"/>
              <w:jc w:val="center"/>
              <w:rPr>
                <w:noProof/>
                <w:sz w:val="20"/>
                <w:lang w:eastAsia="es-MX"/>
              </w:rPr>
            </w:pPr>
            <w:r w:rsidRPr="00287B57">
              <w:rPr>
                <w:noProof/>
                <w:sz w:val="20"/>
                <w:lang w:eastAsia="es-MX"/>
              </w:rPr>
              <w:t>Sí</w:t>
            </w:r>
          </w:p>
        </w:tc>
      </w:tr>
      <w:tr w:rsidR="00247DFB" w:rsidRPr="00287B57" w:rsidTr="00287B57">
        <w:trPr>
          <w:trHeight w:val="201"/>
          <w:jc w:val="center"/>
        </w:trPr>
        <w:tc>
          <w:tcPr>
            <w:tcW w:w="7665" w:type="dxa"/>
            <w:vMerge/>
            <w:tcBorders>
              <w:right w:val="single" w:sz="12" w:space="0" w:color="000000"/>
            </w:tcBorders>
          </w:tcPr>
          <w:p w:rsidR="00247DFB" w:rsidRPr="00287B57" w:rsidRDefault="00247DFB" w:rsidP="00287B57">
            <w:pPr>
              <w:spacing w:after="0" w:line="240" w:lineRule="auto"/>
              <w:ind w:left="-108" w:right="-108"/>
              <w:jc w:val="center"/>
              <w:rPr>
                <w:color w:val="595959"/>
                <w:sz w:val="16"/>
              </w:rPr>
            </w:pPr>
          </w:p>
        </w:tc>
        <w:tc>
          <w:tcPr>
            <w:tcW w:w="2438" w:type="dxa"/>
            <w:tcBorders>
              <w:top w:val="single" w:sz="12" w:space="0" w:color="000000"/>
              <w:left w:val="single" w:sz="12" w:space="0" w:color="000000"/>
              <w:bottom w:val="single" w:sz="12" w:space="0" w:color="000000"/>
            </w:tcBorders>
            <w:vAlign w:val="center"/>
          </w:tcPr>
          <w:p w:rsidR="00247DFB" w:rsidRPr="00287B57" w:rsidRDefault="00247DFB" w:rsidP="00287B57">
            <w:pPr>
              <w:tabs>
                <w:tab w:val="left" w:pos="9923"/>
              </w:tabs>
              <w:spacing w:after="0" w:line="240" w:lineRule="auto"/>
              <w:ind w:right="51"/>
              <w:jc w:val="center"/>
              <w:rPr>
                <w:noProof/>
                <w:sz w:val="20"/>
                <w:lang w:eastAsia="es-MX"/>
              </w:rPr>
            </w:pPr>
            <w:r w:rsidRPr="00287B57">
              <w:rPr>
                <w:noProof/>
                <w:sz w:val="20"/>
                <w:lang w:eastAsia="es-MX"/>
              </w:rPr>
              <w:t>No</w:t>
            </w:r>
            <w:r w:rsidR="007804EE" w:rsidRPr="00420DC8">
              <w:rPr>
                <w:noProof/>
                <w:color w:val="7030A0"/>
                <w:sz w:val="20"/>
                <w:lang w:eastAsia="es-MX"/>
              </w:rPr>
              <w:t xml:space="preserve"> </w:t>
            </w:r>
            <w:r w:rsidR="007804EE" w:rsidRPr="009C6931">
              <w:rPr>
                <w:noProof/>
                <w:color w:val="FF0000"/>
                <w:sz w:val="20"/>
                <w:lang w:eastAsia="es-MX"/>
              </w:rPr>
              <w:t>X</w:t>
            </w:r>
          </w:p>
        </w:tc>
      </w:tr>
    </w:tbl>
    <w:p w:rsidR="00247DFB" w:rsidRDefault="00247DFB" w:rsidP="008875EC">
      <w:pPr>
        <w:shd w:val="clear" w:color="auto" w:fill="548DD4"/>
        <w:spacing w:before="240" w:after="120"/>
        <w:ind w:firstLine="284"/>
        <w:rPr>
          <w:b/>
          <w:color w:val="FFFFFF"/>
          <w:sz w:val="20"/>
          <w:szCs w:val="20"/>
        </w:rPr>
      </w:pPr>
      <w:r>
        <w:rPr>
          <w:b/>
          <w:color w:val="FFFFFF"/>
          <w:sz w:val="20"/>
          <w:szCs w:val="20"/>
        </w:rPr>
        <w:t>II.- IMPACTO DE LA REGULACIÓN</w:t>
      </w:r>
    </w:p>
    <w:tbl>
      <w:tblPr>
        <w:tblStyle w:val="Tablaconcuadrcula"/>
        <w:tblW w:w="0" w:type="auto"/>
        <w:tblLook w:val="04A0" w:firstRow="1" w:lastRow="0" w:firstColumn="1" w:lastColumn="0" w:noHBand="0" w:noVBand="1"/>
      </w:tblPr>
      <w:tblGrid>
        <w:gridCol w:w="10112"/>
      </w:tblGrid>
      <w:tr w:rsidR="00026262" w:rsidTr="00026262">
        <w:tc>
          <w:tcPr>
            <w:tcW w:w="10112" w:type="dxa"/>
          </w:tcPr>
          <w:p w:rsidR="00026262" w:rsidRDefault="00026262" w:rsidP="008875EC">
            <w:pPr>
              <w:tabs>
                <w:tab w:val="left" w:pos="9923"/>
              </w:tabs>
              <w:spacing w:after="0" w:line="264" w:lineRule="auto"/>
              <w:ind w:right="51"/>
              <w:jc w:val="both"/>
              <w:rPr>
                <w:sz w:val="20"/>
              </w:rPr>
            </w:pPr>
            <w:r>
              <w:rPr>
                <w:sz w:val="20"/>
              </w:rPr>
              <w:lastRenderedPageBreak/>
              <w:t xml:space="preserve">4. </w:t>
            </w:r>
            <w:r w:rsidRPr="008875EC">
              <w:rPr>
                <w:sz w:val="20"/>
              </w:rPr>
              <w:t>Justifique las razones por las que considera que la regulación propuesta n</w:t>
            </w:r>
            <w:r>
              <w:rPr>
                <w:sz w:val="20"/>
              </w:rPr>
              <w:t>o genera costos de cumplimiento</w:t>
            </w:r>
            <w:r w:rsidRPr="008875EC">
              <w:rPr>
                <w:sz w:val="20"/>
              </w:rPr>
              <w:t xml:space="preserve"> para los particulares, independientemente de los beneficios que ésta genera.</w:t>
            </w:r>
          </w:p>
        </w:tc>
      </w:tr>
    </w:tbl>
    <w:p w:rsidR="0006384A" w:rsidRPr="005A3CFA" w:rsidRDefault="0006384A" w:rsidP="0006384A">
      <w:pPr>
        <w:tabs>
          <w:tab w:val="left" w:pos="9923"/>
        </w:tabs>
        <w:spacing w:after="0" w:line="264" w:lineRule="auto"/>
        <w:ind w:right="51"/>
        <w:jc w:val="both"/>
        <w:rPr>
          <w:color w:val="000000" w:themeColor="text1"/>
          <w:sz w:val="20"/>
        </w:rPr>
      </w:pPr>
    </w:p>
    <w:p w:rsidR="00784D2F" w:rsidRPr="005A3CFA" w:rsidRDefault="009C6931" w:rsidP="008875EC">
      <w:pPr>
        <w:tabs>
          <w:tab w:val="left" w:pos="9923"/>
        </w:tabs>
        <w:spacing w:after="0" w:line="264" w:lineRule="auto"/>
        <w:ind w:right="51"/>
        <w:jc w:val="both"/>
        <w:rPr>
          <w:sz w:val="20"/>
        </w:rPr>
      </w:pPr>
      <w:r w:rsidRPr="005A3CFA">
        <w:rPr>
          <w:sz w:val="20"/>
        </w:rPr>
        <w:t>Con base en lo anterior, se considera que procede eximir de la obligación de elaborar la Manif</w:t>
      </w:r>
      <w:r w:rsidR="005A3CFA">
        <w:rPr>
          <w:sz w:val="20"/>
        </w:rPr>
        <w:t>estación de Impacto Regulatorio (MIR)</w:t>
      </w:r>
      <w:r w:rsidRPr="005A3CFA">
        <w:rPr>
          <w:sz w:val="20"/>
        </w:rPr>
        <w:t xml:space="preserve"> al Instituto Mexicano del Seguro Social, en términos del artículo 69 H de la Ley Federal del Procedimiento Administrativo, en </w:t>
      </w:r>
      <w:r w:rsidR="0011713D" w:rsidRPr="005A3CFA">
        <w:rPr>
          <w:sz w:val="20"/>
        </w:rPr>
        <w:t xml:space="preserve">virtud </w:t>
      </w:r>
      <w:r w:rsidRPr="005A3CFA">
        <w:rPr>
          <w:sz w:val="20"/>
        </w:rPr>
        <w:t xml:space="preserve">de que el mismo no implica costos de cumplimiento o trámites adicionales para los particulares y no restringe derechos ni prestaciones, </w:t>
      </w:r>
      <w:r w:rsidR="0048607F" w:rsidRPr="00FC530C">
        <w:rPr>
          <w:sz w:val="20"/>
        </w:rPr>
        <w:t>así como al artículo 69-M último párrafo que dicta : “…</w:t>
      </w:r>
      <w:r w:rsidR="0048607F" w:rsidRPr="00FC530C">
        <w:rPr>
          <w:sz w:val="20"/>
          <w:szCs w:val="20"/>
        </w:rPr>
        <w:t xml:space="preserve">No será obligatorio proporcionar la información relativa a los trámites que se realicen en los procedimientos de contratación que lleven a cabo las dependencias”, </w:t>
      </w:r>
      <w:r w:rsidRPr="00FC530C">
        <w:rPr>
          <w:sz w:val="20"/>
        </w:rPr>
        <w:t>ya que</w:t>
      </w:r>
      <w:r w:rsidR="0048607F" w:rsidRPr="00FC530C">
        <w:rPr>
          <w:sz w:val="20"/>
        </w:rPr>
        <w:t xml:space="preserve"> el presente anteproyecto</w:t>
      </w:r>
      <w:r w:rsidR="0048607F">
        <w:rPr>
          <w:sz w:val="20"/>
        </w:rPr>
        <w:t xml:space="preserve"> </w:t>
      </w:r>
      <w:r w:rsidRPr="005A3CFA">
        <w:rPr>
          <w:sz w:val="20"/>
        </w:rPr>
        <w:t>únicamente se refiere a aspectos de regulación interna. Por lo que se da cumplimiento a lo establecido en el artículo 3, fracción II del acuerdo de Calidad Regulatoria, publicado en el D</w:t>
      </w:r>
      <w:r w:rsidR="005A3CFA">
        <w:rPr>
          <w:sz w:val="20"/>
        </w:rPr>
        <w:t>iario Oficial de la Federación</w:t>
      </w:r>
      <w:r w:rsidRPr="005A3CFA">
        <w:rPr>
          <w:sz w:val="20"/>
        </w:rPr>
        <w:t xml:space="preserve"> el 02 de febrero de 2007</w:t>
      </w:r>
      <w:r w:rsidR="005B69CA" w:rsidRPr="005A3CFA">
        <w:rPr>
          <w:sz w:val="20"/>
        </w:rPr>
        <w:t>.</w:t>
      </w:r>
    </w:p>
    <w:p w:rsidR="00635111" w:rsidRPr="009C6931" w:rsidRDefault="00635111" w:rsidP="008875EC">
      <w:pPr>
        <w:tabs>
          <w:tab w:val="left" w:pos="9923"/>
        </w:tabs>
        <w:spacing w:after="0" w:line="264" w:lineRule="auto"/>
        <w:ind w:right="51"/>
        <w:jc w:val="both"/>
        <w:rPr>
          <w:rFonts w:ascii="Arial" w:eastAsia="Times New Roman" w:hAnsi="Arial" w:cs="Arial"/>
          <w:sz w:val="24"/>
          <w:szCs w:val="24"/>
          <w:lang w:eastAsia="es-MX"/>
        </w:rPr>
      </w:pPr>
    </w:p>
    <w:tbl>
      <w:tblPr>
        <w:tblW w:w="0" w:type="auto"/>
        <w:jc w:val="center"/>
        <w:tblInd w:w="-146" w:type="dxa"/>
        <w:tblBorders>
          <w:top w:val="single" w:sz="4" w:space="0" w:color="000000"/>
          <w:left w:val="single" w:sz="4" w:space="0" w:color="000000"/>
          <w:bottom w:val="single" w:sz="4"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3589"/>
        <w:gridCol w:w="5529"/>
        <w:gridCol w:w="425"/>
        <w:gridCol w:w="567"/>
      </w:tblGrid>
      <w:tr w:rsidR="00247DFB" w:rsidRPr="00287B57" w:rsidTr="00287B57">
        <w:trPr>
          <w:trHeight w:val="221"/>
          <w:jc w:val="center"/>
        </w:trPr>
        <w:tc>
          <w:tcPr>
            <w:tcW w:w="3589" w:type="dxa"/>
            <w:vMerge w:val="restart"/>
            <w:tcBorders>
              <w:right w:val="single" w:sz="18" w:space="0" w:color="auto"/>
            </w:tcBorders>
          </w:tcPr>
          <w:p w:rsidR="00247DFB" w:rsidRPr="00287B57" w:rsidRDefault="00247DFB" w:rsidP="00287B57">
            <w:pPr>
              <w:tabs>
                <w:tab w:val="left" w:pos="9923"/>
              </w:tabs>
              <w:spacing w:after="0" w:line="240" w:lineRule="auto"/>
              <w:ind w:right="51"/>
              <w:jc w:val="both"/>
              <w:rPr>
                <w:b/>
                <w:noProof/>
                <w:sz w:val="20"/>
                <w:lang w:eastAsia="es-MX"/>
              </w:rPr>
            </w:pPr>
            <w:r w:rsidRPr="00287B57">
              <w:rPr>
                <w:noProof/>
                <w:sz w:val="20"/>
                <w:lang w:eastAsia="es-MX"/>
              </w:rPr>
              <w:t>5. Indique cuál(es) de las siguientes acciones corresponde(n) a la regulación propuesta</w:t>
            </w:r>
          </w:p>
        </w:tc>
        <w:tc>
          <w:tcPr>
            <w:tcW w:w="5529" w:type="dxa"/>
            <w:tcBorders>
              <w:top w:val="single" w:sz="12" w:space="0" w:color="000000"/>
              <w:left w:val="single" w:sz="12" w:space="0" w:color="000000"/>
              <w:bottom w:val="single" w:sz="12" w:space="0" w:color="000000"/>
            </w:tcBorders>
            <w:shd w:val="clear" w:color="auto" w:fill="C6D9F1"/>
          </w:tcPr>
          <w:p w:rsidR="00247DFB" w:rsidRPr="00287B57" w:rsidRDefault="00247DFB" w:rsidP="00287B57">
            <w:pPr>
              <w:spacing w:after="0" w:line="240" w:lineRule="auto"/>
              <w:jc w:val="center"/>
              <w:rPr>
                <w:b/>
                <w:sz w:val="12"/>
              </w:rPr>
            </w:pPr>
            <w:r w:rsidRPr="00287B57">
              <w:rPr>
                <w:b/>
                <w:sz w:val="20"/>
              </w:rPr>
              <w:t>Acciones</w:t>
            </w:r>
          </w:p>
        </w:tc>
        <w:tc>
          <w:tcPr>
            <w:tcW w:w="425" w:type="dxa"/>
            <w:tcBorders>
              <w:top w:val="single" w:sz="12" w:space="0" w:color="000000"/>
              <w:left w:val="single" w:sz="12" w:space="0" w:color="000000"/>
              <w:bottom w:val="single" w:sz="12" w:space="0" w:color="000000"/>
            </w:tcBorders>
            <w:shd w:val="clear" w:color="auto" w:fill="C6D9F1"/>
          </w:tcPr>
          <w:p w:rsidR="00247DFB" w:rsidRPr="00287B57" w:rsidRDefault="00247DFB" w:rsidP="00287B57">
            <w:pPr>
              <w:spacing w:after="0" w:line="240" w:lineRule="auto"/>
              <w:jc w:val="center"/>
              <w:rPr>
                <w:b/>
                <w:sz w:val="20"/>
              </w:rPr>
            </w:pPr>
            <w:r w:rsidRPr="00287B57">
              <w:rPr>
                <w:b/>
                <w:sz w:val="20"/>
              </w:rPr>
              <w:t>Sí</w:t>
            </w:r>
          </w:p>
        </w:tc>
        <w:tc>
          <w:tcPr>
            <w:tcW w:w="567" w:type="dxa"/>
            <w:tcBorders>
              <w:top w:val="single" w:sz="12" w:space="0" w:color="000000"/>
              <w:left w:val="single" w:sz="12" w:space="0" w:color="000000"/>
              <w:bottom w:val="single" w:sz="12" w:space="0" w:color="000000"/>
            </w:tcBorders>
            <w:shd w:val="clear" w:color="auto" w:fill="C6D9F1"/>
          </w:tcPr>
          <w:p w:rsidR="00247DFB" w:rsidRPr="00287B57" w:rsidRDefault="00247DFB" w:rsidP="00287B57">
            <w:pPr>
              <w:spacing w:after="0" w:line="240" w:lineRule="auto"/>
              <w:jc w:val="center"/>
              <w:rPr>
                <w:b/>
                <w:sz w:val="20"/>
              </w:rPr>
            </w:pPr>
            <w:r w:rsidRPr="00287B57">
              <w:rPr>
                <w:b/>
                <w:sz w:val="20"/>
              </w:rPr>
              <w:t>No</w:t>
            </w:r>
          </w:p>
        </w:tc>
      </w:tr>
      <w:tr w:rsidR="00247DFB" w:rsidRPr="00287B57" w:rsidTr="00287B57">
        <w:trPr>
          <w:trHeight w:val="294"/>
          <w:jc w:val="center"/>
        </w:trPr>
        <w:tc>
          <w:tcPr>
            <w:tcW w:w="3589" w:type="dxa"/>
            <w:vMerge/>
            <w:tcBorders>
              <w:right w:val="single" w:sz="18" w:space="0" w:color="auto"/>
            </w:tcBorders>
          </w:tcPr>
          <w:p w:rsidR="00247DFB" w:rsidRPr="00287B57" w:rsidRDefault="00247DFB" w:rsidP="00287B57">
            <w:pPr>
              <w:spacing w:after="0" w:line="240" w:lineRule="auto"/>
              <w:ind w:left="-108" w:right="-108"/>
              <w:jc w:val="center"/>
              <w:rPr>
                <w:color w:val="595959"/>
                <w:sz w:val="16"/>
              </w:rPr>
            </w:pPr>
          </w:p>
        </w:tc>
        <w:tc>
          <w:tcPr>
            <w:tcW w:w="5529" w:type="dxa"/>
            <w:tcBorders>
              <w:top w:val="single" w:sz="12" w:space="0" w:color="000000"/>
              <w:left w:val="single" w:sz="4" w:space="0" w:color="auto"/>
              <w:bottom w:val="single" w:sz="4" w:space="0" w:color="auto"/>
              <w:right w:val="single" w:sz="4" w:space="0" w:color="auto"/>
            </w:tcBorders>
            <w:vAlign w:val="center"/>
          </w:tcPr>
          <w:p w:rsidR="00247DFB" w:rsidRPr="00287B57" w:rsidRDefault="00247DFB" w:rsidP="00287B57">
            <w:pPr>
              <w:tabs>
                <w:tab w:val="left" w:pos="9923"/>
              </w:tabs>
              <w:spacing w:after="0" w:line="240" w:lineRule="auto"/>
              <w:ind w:right="51"/>
              <w:jc w:val="both"/>
              <w:rPr>
                <w:noProof/>
                <w:sz w:val="20"/>
                <w:lang w:eastAsia="es-MX"/>
              </w:rPr>
            </w:pPr>
            <w:r w:rsidRPr="00287B57">
              <w:rPr>
                <w:noProof/>
                <w:sz w:val="20"/>
                <w:lang w:eastAsia="es-MX"/>
              </w:rPr>
              <w:t>Crea nuevas obligaciones y/o sanciones para los particulares o hace más estrictas las existentes.</w:t>
            </w:r>
          </w:p>
        </w:tc>
        <w:tc>
          <w:tcPr>
            <w:tcW w:w="425" w:type="dxa"/>
            <w:tcBorders>
              <w:top w:val="single" w:sz="12" w:space="0" w:color="000000"/>
              <w:left w:val="single" w:sz="4" w:space="0" w:color="auto"/>
              <w:bottom w:val="single" w:sz="4" w:space="0" w:color="auto"/>
              <w:right w:val="single" w:sz="4" w:space="0" w:color="auto"/>
            </w:tcBorders>
          </w:tcPr>
          <w:p w:rsidR="00247DFB" w:rsidRPr="00287B57" w:rsidRDefault="00247DFB" w:rsidP="00287B57">
            <w:pPr>
              <w:tabs>
                <w:tab w:val="left" w:pos="9923"/>
              </w:tabs>
              <w:spacing w:after="0" w:line="240" w:lineRule="auto"/>
              <w:ind w:right="51"/>
              <w:jc w:val="both"/>
              <w:rPr>
                <w:noProof/>
                <w:sz w:val="20"/>
                <w:lang w:eastAsia="es-MX"/>
              </w:rPr>
            </w:pPr>
          </w:p>
        </w:tc>
        <w:tc>
          <w:tcPr>
            <w:tcW w:w="567" w:type="dxa"/>
            <w:tcBorders>
              <w:top w:val="single" w:sz="12" w:space="0" w:color="000000"/>
              <w:left w:val="single" w:sz="4" w:space="0" w:color="auto"/>
              <w:bottom w:val="single" w:sz="4" w:space="0" w:color="auto"/>
              <w:right w:val="single" w:sz="4" w:space="0" w:color="auto"/>
            </w:tcBorders>
          </w:tcPr>
          <w:p w:rsidR="00247DFB" w:rsidRPr="006978FE" w:rsidRDefault="007804EE" w:rsidP="00287B57">
            <w:pPr>
              <w:tabs>
                <w:tab w:val="left" w:pos="9923"/>
              </w:tabs>
              <w:spacing w:after="0" w:line="240" w:lineRule="auto"/>
              <w:ind w:right="51"/>
              <w:jc w:val="both"/>
              <w:rPr>
                <w:noProof/>
                <w:color w:val="FF0000"/>
                <w:sz w:val="20"/>
                <w:lang w:eastAsia="es-MX"/>
              </w:rPr>
            </w:pPr>
            <w:r w:rsidRPr="006978FE">
              <w:rPr>
                <w:noProof/>
                <w:color w:val="FF0000"/>
                <w:sz w:val="20"/>
                <w:lang w:eastAsia="es-MX"/>
              </w:rPr>
              <w:t>X</w:t>
            </w:r>
          </w:p>
        </w:tc>
      </w:tr>
      <w:tr w:rsidR="00247DFB" w:rsidRPr="00287B57" w:rsidTr="00287B57">
        <w:trPr>
          <w:trHeight w:val="217"/>
          <w:jc w:val="center"/>
        </w:trPr>
        <w:tc>
          <w:tcPr>
            <w:tcW w:w="3589" w:type="dxa"/>
            <w:vMerge/>
            <w:tcBorders>
              <w:right w:val="single" w:sz="18" w:space="0" w:color="auto"/>
            </w:tcBorders>
          </w:tcPr>
          <w:p w:rsidR="00247DFB" w:rsidRPr="00287B57" w:rsidRDefault="00247DFB" w:rsidP="00287B57">
            <w:pPr>
              <w:spacing w:after="0" w:line="240" w:lineRule="auto"/>
              <w:ind w:left="-108" w:right="-108"/>
              <w:jc w:val="center"/>
              <w:rPr>
                <w:color w:val="595959"/>
                <w:sz w:val="16"/>
              </w:rPr>
            </w:pPr>
          </w:p>
        </w:tc>
        <w:tc>
          <w:tcPr>
            <w:tcW w:w="5529" w:type="dxa"/>
            <w:tcBorders>
              <w:top w:val="single" w:sz="4" w:space="0" w:color="auto"/>
              <w:left w:val="single" w:sz="4" w:space="0" w:color="auto"/>
              <w:bottom w:val="single" w:sz="4" w:space="0" w:color="auto"/>
              <w:right w:val="single" w:sz="4" w:space="0" w:color="auto"/>
            </w:tcBorders>
            <w:vAlign w:val="center"/>
          </w:tcPr>
          <w:p w:rsidR="00247DFB" w:rsidRPr="00287B57" w:rsidRDefault="00247DFB" w:rsidP="00287B57">
            <w:pPr>
              <w:tabs>
                <w:tab w:val="left" w:pos="9923"/>
              </w:tabs>
              <w:spacing w:after="0" w:line="240" w:lineRule="auto"/>
              <w:ind w:right="51"/>
              <w:jc w:val="both"/>
              <w:rPr>
                <w:noProof/>
                <w:sz w:val="20"/>
                <w:lang w:eastAsia="es-MX"/>
              </w:rPr>
            </w:pPr>
            <w:r w:rsidRPr="00287B57">
              <w:rPr>
                <w:noProof/>
                <w:sz w:val="20"/>
                <w:lang w:eastAsia="es-MX"/>
              </w:rPr>
              <w:t>Modifica o crea trámites que signifiquen mayores cargas administrativas o costos de cumplimiento para los particulares.</w:t>
            </w:r>
          </w:p>
        </w:tc>
        <w:tc>
          <w:tcPr>
            <w:tcW w:w="425" w:type="dxa"/>
            <w:tcBorders>
              <w:top w:val="single" w:sz="4" w:space="0" w:color="auto"/>
              <w:left w:val="single" w:sz="4" w:space="0" w:color="auto"/>
              <w:bottom w:val="single" w:sz="4" w:space="0" w:color="auto"/>
              <w:right w:val="single" w:sz="4" w:space="0" w:color="auto"/>
            </w:tcBorders>
          </w:tcPr>
          <w:p w:rsidR="00247DFB" w:rsidRPr="00287B57" w:rsidRDefault="00247DFB" w:rsidP="00287B57">
            <w:pPr>
              <w:tabs>
                <w:tab w:val="left" w:pos="9923"/>
              </w:tabs>
              <w:spacing w:after="0" w:line="240" w:lineRule="auto"/>
              <w:ind w:right="51"/>
              <w:jc w:val="both"/>
              <w:rPr>
                <w:noProof/>
                <w:sz w:val="20"/>
                <w:lang w:eastAsia="es-MX"/>
              </w:rPr>
            </w:pPr>
          </w:p>
        </w:tc>
        <w:tc>
          <w:tcPr>
            <w:tcW w:w="567" w:type="dxa"/>
            <w:tcBorders>
              <w:top w:val="single" w:sz="4" w:space="0" w:color="auto"/>
              <w:left w:val="single" w:sz="4" w:space="0" w:color="auto"/>
              <w:bottom w:val="single" w:sz="4" w:space="0" w:color="auto"/>
              <w:right w:val="single" w:sz="4" w:space="0" w:color="auto"/>
            </w:tcBorders>
          </w:tcPr>
          <w:p w:rsidR="00247DFB" w:rsidRPr="006978FE" w:rsidRDefault="007804EE" w:rsidP="00287B57">
            <w:pPr>
              <w:tabs>
                <w:tab w:val="left" w:pos="9923"/>
              </w:tabs>
              <w:spacing w:after="0" w:line="240" w:lineRule="auto"/>
              <w:ind w:right="51"/>
              <w:jc w:val="both"/>
              <w:rPr>
                <w:noProof/>
                <w:color w:val="FF0000"/>
                <w:sz w:val="20"/>
                <w:lang w:eastAsia="es-MX"/>
              </w:rPr>
            </w:pPr>
            <w:r w:rsidRPr="006978FE">
              <w:rPr>
                <w:noProof/>
                <w:color w:val="FF0000"/>
                <w:sz w:val="20"/>
                <w:lang w:eastAsia="es-MX"/>
              </w:rPr>
              <w:t>X</w:t>
            </w:r>
          </w:p>
        </w:tc>
      </w:tr>
      <w:tr w:rsidR="00247DFB" w:rsidRPr="00287B57" w:rsidTr="00287B57">
        <w:trPr>
          <w:trHeight w:val="217"/>
          <w:jc w:val="center"/>
        </w:trPr>
        <w:tc>
          <w:tcPr>
            <w:tcW w:w="3589" w:type="dxa"/>
            <w:vMerge/>
            <w:tcBorders>
              <w:right w:val="single" w:sz="18" w:space="0" w:color="auto"/>
            </w:tcBorders>
          </w:tcPr>
          <w:p w:rsidR="00247DFB" w:rsidRPr="00287B57" w:rsidRDefault="00247DFB" w:rsidP="00287B57">
            <w:pPr>
              <w:spacing w:after="0" w:line="240" w:lineRule="auto"/>
              <w:ind w:left="-108" w:right="-108"/>
              <w:jc w:val="center"/>
              <w:rPr>
                <w:color w:val="595959"/>
                <w:sz w:val="16"/>
              </w:rPr>
            </w:pPr>
          </w:p>
        </w:tc>
        <w:tc>
          <w:tcPr>
            <w:tcW w:w="5529" w:type="dxa"/>
            <w:tcBorders>
              <w:top w:val="single" w:sz="4" w:space="0" w:color="auto"/>
              <w:left w:val="single" w:sz="4" w:space="0" w:color="auto"/>
              <w:bottom w:val="single" w:sz="4" w:space="0" w:color="auto"/>
              <w:right w:val="single" w:sz="4" w:space="0" w:color="auto"/>
            </w:tcBorders>
            <w:vAlign w:val="center"/>
          </w:tcPr>
          <w:p w:rsidR="00247DFB" w:rsidRPr="00287B57" w:rsidRDefault="00247DFB" w:rsidP="00287B57">
            <w:pPr>
              <w:tabs>
                <w:tab w:val="left" w:pos="9923"/>
              </w:tabs>
              <w:spacing w:after="0" w:line="240" w:lineRule="auto"/>
              <w:ind w:right="51"/>
              <w:jc w:val="both"/>
              <w:rPr>
                <w:noProof/>
                <w:sz w:val="20"/>
                <w:lang w:eastAsia="es-MX"/>
              </w:rPr>
            </w:pPr>
            <w:r w:rsidRPr="00287B57">
              <w:rPr>
                <w:noProof/>
                <w:sz w:val="20"/>
                <w:lang w:eastAsia="es-MX"/>
              </w:rPr>
              <w:t>Reduce o restringe prestaciones o derechos para los particulares.</w:t>
            </w:r>
          </w:p>
        </w:tc>
        <w:tc>
          <w:tcPr>
            <w:tcW w:w="425" w:type="dxa"/>
            <w:tcBorders>
              <w:top w:val="single" w:sz="4" w:space="0" w:color="auto"/>
              <w:left w:val="single" w:sz="4" w:space="0" w:color="auto"/>
              <w:bottom w:val="single" w:sz="4" w:space="0" w:color="auto"/>
              <w:right w:val="single" w:sz="4" w:space="0" w:color="auto"/>
            </w:tcBorders>
          </w:tcPr>
          <w:p w:rsidR="00247DFB" w:rsidRPr="00287B57" w:rsidRDefault="00247DFB" w:rsidP="00287B57">
            <w:pPr>
              <w:tabs>
                <w:tab w:val="left" w:pos="9923"/>
              </w:tabs>
              <w:spacing w:after="0" w:line="240" w:lineRule="auto"/>
              <w:ind w:right="51"/>
              <w:jc w:val="both"/>
              <w:rPr>
                <w:noProof/>
                <w:sz w:val="20"/>
                <w:lang w:eastAsia="es-MX"/>
              </w:rPr>
            </w:pPr>
          </w:p>
        </w:tc>
        <w:tc>
          <w:tcPr>
            <w:tcW w:w="567" w:type="dxa"/>
            <w:tcBorders>
              <w:top w:val="single" w:sz="4" w:space="0" w:color="auto"/>
              <w:left w:val="single" w:sz="4" w:space="0" w:color="auto"/>
              <w:bottom w:val="single" w:sz="4" w:space="0" w:color="auto"/>
              <w:right w:val="single" w:sz="4" w:space="0" w:color="auto"/>
            </w:tcBorders>
          </w:tcPr>
          <w:p w:rsidR="00247DFB" w:rsidRPr="006978FE" w:rsidRDefault="007804EE" w:rsidP="00287B57">
            <w:pPr>
              <w:tabs>
                <w:tab w:val="left" w:pos="9923"/>
              </w:tabs>
              <w:spacing w:after="0" w:line="240" w:lineRule="auto"/>
              <w:ind w:right="51"/>
              <w:jc w:val="both"/>
              <w:rPr>
                <w:noProof/>
                <w:color w:val="FF0000"/>
                <w:sz w:val="20"/>
                <w:lang w:eastAsia="es-MX"/>
              </w:rPr>
            </w:pPr>
            <w:r w:rsidRPr="006978FE">
              <w:rPr>
                <w:noProof/>
                <w:color w:val="FF0000"/>
                <w:sz w:val="20"/>
                <w:lang w:eastAsia="es-MX"/>
              </w:rPr>
              <w:t>X</w:t>
            </w:r>
          </w:p>
        </w:tc>
      </w:tr>
      <w:tr w:rsidR="00247DFB" w:rsidRPr="00287B57" w:rsidTr="00287B57">
        <w:trPr>
          <w:trHeight w:val="217"/>
          <w:jc w:val="center"/>
        </w:trPr>
        <w:tc>
          <w:tcPr>
            <w:tcW w:w="3589" w:type="dxa"/>
            <w:vMerge/>
            <w:tcBorders>
              <w:right w:val="single" w:sz="18" w:space="0" w:color="auto"/>
            </w:tcBorders>
          </w:tcPr>
          <w:p w:rsidR="00247DFB" w:rsidRPr="00287B57" w:rsidRDefault="00247DFB" w:rsidP="00287B57">
            <w:pPr>
              <w:spacing w:after="0" w:line="240" w:lineRule="auto"/>
              <w:ind w:left="-108" w:right="-108"/>
              <w:jc w:val="center"/>
              <w:rPr>
                <w:color w:val="595959"/>
                <w:sz w:val="16"/>
              </w:rPr>
            </w:pPr>
          </w:p>
        </w:tc>
        <w:tc>
          <w:tcPr>
            <w:tcW w:w="5529" w:type="dxa"/>
            <w:tcBorders>
              <w:top w:val="single" w:sz="4" w:space="0" w:color="auto"/>
              <w:left w:val="single" w:sz="4" w:space="0" w:color="auto"/>
              <w:bottom w:val="single" w:sz="4" w:space="0" w:color="auto"/>
              <w:right w:val="single" w:sz="4" w:space="0" w:color="auto"/>
            </w:tcBorders>
            <w:vAlign w:val="center"/>
          </w:tcPr>
          <w:p w:rsidR="00247DFB" w:rsidRPr="00287B57" w:rsidRDefault="00247DFB" w:rsidP="00287B57">
            <w:pPr>
              <w:tabs>
                <w:tab w:val="left" w:pos="9923"/>
              </w:tabs>
              <w:spacing w:after="0" w:line="240" w:lineRule="auto"/>
              <w:ind w:right="51"/>
              <w:jc w:val="both"/>
              <w:rPr>
                <w:noProof/>
                <w:sz w:val="20"/>
                <w:lang w:eastAsia="es-MX"/>
              </w:rPr>
            </w:pPr>
            <w:r w:rsidRPr="00287B57">
              <w:rPr>
                <w:noProof/>
                <w:sz w:val="20"/>
                <w:lang w:eastAsia="es-MX"/>
              </w:rPr>
              <w:t>Establece o modifica definiciones, clasificaciones, metodologías, criterios, caracterizaciones o cualquier otro término de referencia, afectando derechos, obligaciones, prestaciones o trámites de los particulares.</w:t>
            </w:r>
          </w:p>
        </w:tc>
        <w:tc>
          <w:tcPr>
            <w:tcW w:w="425" w:type="dxa"/>
            <w:tcBorders>
              <w:top w:val="single" w:sz="4" w:space="0" w:color="auto"/>
              <w:left w:val="single" w:sz="4" w:space="0" w:color="auto"/>
              <w:bottom w:val="single" w:sz="4" w:space="0" w:color="auto"/>
              <w:right w:val="single" w:sz="4" w:space="0" w:color="auto"/>
            </w:tcBorders>
          </w:tcPr>
          <w:p w:rsidR="00247DFB" w:rsidRPr="00287B57" w:rsidRDefault="00247DFB" w:rsidP="00287B57">
            <w:pPr>
              <w:tabs>
                <w:tab w:val="left" w:pos="9923"/>
              </w:tabs>
              <w:spacing w:after="0" w:line="240" w:lineRule="auto"/>
              <w:ind w:right="51"/>
              <w:jc w:val="both"/>
              <w:rPr>
                <w:noProof/>
                <w:sz w:val="20"/>
                <w:lang w:eastAsia="es-MX"/>
              </w:rPr>
            </w:pPr>
          </w:p>
        </w:tc>
        <w:tc>
          <w:tcPr>
            <w:tcW w:w="567" w:type="dxa"/>
            <w:tcBorders>
              <w:top w:val="single" w:sz="4" w:space="0" w:color="auto"/>
              <w:left w:val="single" w:sz="4" w:space="0" w:color="auto"/>
              <w:bottom w:val="single" w:sz="4" w:space="0" w:color="auto"/>
              <w:right w:val="single" w:sz="4" w:space="0" w:color="auto"/>
            </w:tcBorders>
          </w:tcPr>
          <w:p w:rsidR="00247DFB" w:rsidRPr="006978FE" w:rsidRDefault="007804EE" w:rsidP="00287B57">
            <w:pPr>
              <w:tabs>
                <w:tab w:val="left" w:pos="9923"/>
              </w:tabs>
              <w:spacing w:after="0" w:line="240" w:lineRule="auto"/>
              <w:ind w:right="51"/>
              <w:jc w:val="both"/>
              <w:rPr>
                <w:noProof/>
                <w:color w:val="FF0000"/>
                <w:sz w:val="20"/>
                <w:lang w:eastAsia="es-MX"/>
              </w:rPr>
            </w:pPr>
            <w:r w:rsidRPr="006978FE">
              <w:rPr>
                <w:noProof/>
                <w:color w:val="FF0000"/>
                <w:sz w:val="20"/>
                <w:lang w:eastAsia="es-MX"/>
              </w:rPr>
              <w:t>X</w:t>
            </w:r>
          </w:p>
        </w:tc>
      </w:tr>
    </w:tbl>
    <w:p w:rsidR="00247DFB" w:rsidRDefault="00247DFB" w:rsidP="00FF2AED">
      <w:pPr>
        <w:tabs>
          <w:tab w:val="left" w:pos="9923"/>
        </w:tabs>
        <w:spacing w:after="0" w:line="264" w:lineRule="auto"/>
        <w:ind w:right="51"/>
        <w:jc w:val="both"/>
        <w:rPr>
          <w:sz w:val="20"/>
        </w:rPr>
      </w:pPr>
    </w:p>
    <w:p w:rsidR="00247DFB" w:rsidRPr="00F94729" w:rsidRDefault="00247DFB" w:rsidP="00FF2AED">
      <w:pPr>
        <w:shd w:val="clear" w:color="auto" w:fill="548DD4"/>
        <w:spacing w:after="140" w:line="288" w:lineRule="auto"/>
        <w:ind w:firstLine="284"/>
        <w:rPr>
          <w:b/>
          <w:color w:val="FFFFFF"/>
          <w:sz w:val="20"/>
          <w:szCs w:val="20"/>
        </w:rPr>
      </w:pPr>
      <w:r>
        <w:rPr>
          <w:b/>
          <w:color w:val="FFFFFF"/>
          <w:sz w:val="20"/>
          <w:szCs w:val="20"/>
        </w:rPr>
        <w:t>III.- ANEXOS</w:t>
      </w:r>
    </w:p>
    <w:tbl>
      <w:tblPr>
        <w:tblStyle w:val="Tablaconcuadrcula"/>
        <w:tblW w:w="0" w:type="auto"/>
        <w:tblLook w:val="04A0" w:firstRow="1" w:lastRow="0" w:firstColumn="1" w:lastColumn="0" w:noHBand="0" w:noVBand="1"/>
      </w:tblPr>
      <w:tblGrid>
        <w:gridCol w:w="10112"/>
      </w:tblGrid>
      <w:tr w:rsidR="00635111" w:rsidTr="00635111">
        <w:tc>
          <w:tcPr>
            <w:tcW w:w="10112" w:type="dxa"/>
          </w:tcPr>
          <w:p w:rsidR="00635111" w:rsidRDefault="00635111" w:rsidP="00FF2AED">
            <w:pPr>
              <w:tabs>
                <w:tab w:val="left" w:pos="9923"/>
              </w:tabs>
              <w:spacing w:before="120" w:after="120" w:line="240" w:lineRule="auto"/>
              <w:ind w:right="51"/>
              <w:jc w:val="both"/>
              <w:rPr>
                <w:sz w:val="20"/>
              </w:rPr>
            </w:pPr>
            <w:r w:rsidRPr="00264FB9">
              <w:rPr>
                <w:sz w:val="20"/>
              </w:rPr>
              <w:t>Anexe las versiones electrónicas de los documentos consultados o elaborados para diseñar la regulación.</w:t>
            </w:r>
          </w:p>
        </w:tc>
      </w:tr>
    </w:tbl>
    <w:p w:rsidR="005A3CFA" w:rsidRDefault="005A3CFA" w:rsidP="005A3CFA">
      <w:pPr>
        <w:tabs>
          <w:tab w:val="left" w:pos="9923"/>
        </w:tabs>
        <w:spacing w:after="0" w:line="240" w:lineRule="auto"/>
        <w:ind w:right="51"/>
        <w:jc w:val="both"/>
        <w:rPr>
          <w:sz w:val="20"/>
        </w:rPr>
      </w:pPr>
    </w:p>
    <w:p w:rsidR="005A3CFA" w:rsidRDefault="005A3CFA" w:rsidP="005A3CFA">
      <w:pPr>
        <w:tabs>
          <w:tab w:val="left" w:pos="9923"/>
        </w:tabs>
        <w:spacing w:after="0" w:line="240" w:lineRule="auto"/>
        <w:ind w:right="51"/>
        <w:jc w:val="both"/>
        <w:rPr>
          <w:sz w:val="20"/>
        </w:rPr>
      </w:pPr>
      <w:r>
        <w:rPr>
          <w:sz w:val="20"/>
        </w:rPr>
        <w:t>Anexos:</w:t>
      </w:r>
    </w:p>
    <w:p w:rsidR="005A3CFA" w:rsidRDefault="005A3CFA" w:rsidP="005A3CFA">
      <w:pPr>
        <w:tabs>
          <w:tab w:val="left" w:pos="9923"/>
        </w:tabs>
        <w:spacing w:after="0" w:line="240" w:lineRule="auto"/>
        <w:ind w:right="51"/>
        <w:jc w:val="both"/>
        <w:rPr>
          <w:sz w:val="20"/>
        </w:rPr>
      </w:pPr>
    </w:p>
    <w:p w:rsidR="005A3CFA" w:rsidRPr="00942BD2" w:rsidRDefault="00416080" w:rsidP="00896005">
      <w:pPr>
        <w:pStyle w:val="Prrafodelista"/>
        <w:numPr>
          <w:ilvl w:val="0"/>
          <w:numId w:val="23"/>
        </w:numPr>
        <w:tabs>
          <w:tab w:val="left" w:pos="9923"/>
        </w:tabs>
        <w:spacing w:after="0" w:line="240" w:lineRule="auto"/>
        <w:ind w:right="51"/>
        <w:jc w:val="both"/>
        <w:rPr>
          <w:sz w:val="20"/>
        </w:rPr>
      </w:pPr>
      <w:r w:rsidRPr="00942BD2">
        <w:rPr>
          <w:sz w:val="20"/>
        </w:rPr>
        <w:t xml:space="preserve">Acuerdo </w:t>
      </w:r>
      <w:r w:rsidR="00942BD2" w:rsidRPr="00942BD2">
        <w:rPr>
          <w:sz w:val="20"/>
        </w:rPr>
        <w:t>ACDO.SA2.HCT.200716/202.P.DA, de fecha 20 de julio de 2016</w:t>
      </w:r>
      <w:r w:rsidR="005A3CFA" w:rsidRPr="00942BD2">
        <w:rPr>
          <w:sz w:val="20"/>
        </w:rPr>
        <w:t>, aprobado por el H. Consejo Técnico del IMSS.</w:t>
      </w:r>
    </w:p>
    <w:p w:rsidR="005A3CFA" w:rsidRPr="00EC5956" w:rsidRDefault="005A3CFA" w:rsidP="005A3CFA">
      <w:pPr>
        <w:tabs>
          <w:tab w:val="left" w:pos="9923"/>
        </w:tabs>
        <w:spacing w:after="0" w:line="240" w:lineRule="auto"/>
        <w:ind w:right="51"/>
        <w:jc w:val="both"/>
        <w:rPr>
          <w:sz w:val="20"/>
          <w:highlight w:val="yellow"/>
        </w:rPr>
      </w:pPr>
    </w:p>
    <w:p w:rsidR="00247DFB" w:rsidRDefault="00416080" w:rsidP="00896005">
      <w:pPr>
        <w:pStyle w:val="Prrafodelista"/>
        <w:numPr>
          <w:ilvl w:val="0"/>
          <w:numId w:val="23"/>
        </w:numPr>
        <w:tabs>
          <w:tab w:val="left" w:pos="9923"/>
        </w:tabs>
        <w:spacing w:after="0" w:line="240" w:lineRule="auto"/>
        <w:ind w:right="51"/>
        <w:jc w:val="both"/>
        <w:rPr>
          <w:sz w:val="20"/>
        </w:rPr>
      </w:pPr>
      <w:r w:rsidRPr="00E86936">
        <w:rPr>
          <w:sz w:val="20"/>
        </w:rPr>
        <w:t>Anteproyecto</w:t>
      </w:r>
      <w:r w:rsidR="005F439C" w:rsidRPr="00E86936">
        <w:rPr>
          <w:sz w:val="20"/>
        </w:rPr>
        <w:t>:</w:t>
      </w:r>
      <w:r w:rsidRPr="00E86936">
        <w:rPr>
          <w:sz w:val="20"/>
        </w:rPr>
        <w:t xml:space="preserve"> “</w:t>
      </w:r>
      <w:r w:rsidR="00896005" w:rsidRPr="00E86936">
        <w:rPr>
          <w:sz w:val="20"/>
        </w:rPr>
        <w:t xml:space="preserve">Aviso mediante el cual el Instituto Mexicano del Seguro Social, informa de la publicación en su portal de Internet, en el apartado de marco normativo, del acuerdo por el que se aprueba la </w:t>
      </w:r>
      <w:r w:rsidR="00E86936" w:rsidRPr="00E86936">
        <w:rPr>
          <w:sz w:val="20"/>
        </w:rPr>
        <w:t>Norma que establece las disposiciones para la enajenación de Bienes Inmuebles del Instituto Mexicano del Seguro Social</w:t>
      </w:r>
      <w:r w:rsidR="00896005" w:rsidRPr="00E86936">
        <w:rPr>
          <w:sz w:val="20"/>
        </w:rPr>
        <w:t>.</w:t>
      </w:r>
    </w:p>
    <w:p w:rsidR="0048607F" w:rsidRPr="0048607F" w:rsidRDefault="0048607F" w:rsidP="0048607F">
      <w:pPr>
        <w:pStyle w:val="Prrafodelista"/>
        <w:rPr>
          <w:sz w:val="20"/>
        </w:rPr>
      </w:pPr>
    </w:p>
    <w:p w:rsidR="0048607F" w:rsidRPr="00FC530C" w:rsidRDefault="0048607F" w:rsidP="00896005">
      <w:pPr>
        <w:pStyle w:val="Prrafodelista"/>
        <w:numPr>
          <w:ilvl w:val="0"/>
          <w:numId w:val="23"/>
        </w:numPr>
        <w:tabs>
          <w:tab w:val="left" w:pos="9923"/>
        </w:tabs>
        <w:spacing w:after="0" w:line="240" w:lineRule="auto"/>
        <w:ind w:right="51"/>
        <w:jc w:val="both"/>
        <w:rPr>
          <w:sz w:val="20"/>
        </w:rPr>
      </w:pPr>
      <w:r w:rsidRPr="00FC530C">
        <w:rPr>
          <w:sz w:val="20"/>
        </w:rPr>
        <w:t>Oficio 353 del 12 de julio de 2016, signado por el Titular de la Dirección de Administración</w:t>
      </w:r>
    </w:p>
    <w:sectPr w:rsidR="0048607F" w:rsidRPr="00FC530C" w:rsidSect="00011728">
      <w:footerReference w:type="default" r:id="rId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47" w:rsidRDefault="00960847" w:rsidP="00D46458">
      <w:pPr>
        <w:spacing w:after="0" w:line="240" w:lineRule="auto"/>
      </w:pPr>
      <w:r>
        <w:separator/>
      </w:r>
    </w:p>
  </w:endnote>
  <w:endnote w:type="continuationSeparator" w:id="0">
    <w:p w:rsidR="00960847" w:rsidRDefault="00960847" w:rsidP="00D46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DFB" w:rsidRPr="00C029C0" w:rsidRDefault="00247DFB">
    <w:pPr>
      <w:pStyle w:val="Piedepgina"/>
      <w:jc w:val="right"/>
      <w:rPr>
        <w:sz w:val="16"/>
        <w:szCs w:val="16"/>
      </w:rPr>
    </w:pPr>
    <w:r w:rsidRPr="00C029C0">
      <w:rPr>
        <w:sz w:val="16"/>
        <w:szCs w:val="16"/>
      </w:rPr>
      <w:fldChar w:fldCharType="begin"/>
    </w:r>
    <w:r w:rsidRPr="00C029C0">
      <w:rPr>
        <w:sz w:val="16"/>
        <w:szCs w:val="16"/>
      </w:rPr>
      <w:instrText xml:space="preserve"> PAGE   \* MERGEFORMAT </w:instrText>
    </w:r>
    <w:r w:rsidRPr="00C029C0">
      <w:rPr>
        <w:sz w:val="16"/>
        <w:szCs w:val="16"/>
      </w:rPr>
      <w:fldChar w:fldCharType="separate"/>
    </w:r>
    <w:r w:rsidR="004E3678">
      <w:rPr>
        <w:noProof/>
        <w:sz w:val="16"/>
        <w:szCs w:val="16"/>
      </w:rPr>
      <w:t>1</w:t>
    </w:r>
    <w:r w:rsidRPr="00C029C0">
      <w:rPr>
        <w:sz w:val="16"/>
        <w:szCs w:val="16"/>
      </w:rPr>
      <w:fldChar w:fldCharType="end"/>
    </w:r>
  </w:p>
  <w:p w:rsidR="00247DFB" w:rsidRDefault="00247D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47" w:rsidRDefault="00960847" w:rsidP="00D46458">
      <w:pPr>
        <w:spacing w:after="0" w:line="240" w:lineRule="auto"/>
      </w:pPr>
      <w:r>
        <w:separator/>
      </w:r>
    </w:p>
  </w:footnote>
  <w:footnote w:type="continuationSeparator" w:id="0">
    <w:p w:rsidR="00960847" w:rsidRDefault="00960847" w:rsidP="00D464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45EFB"/>
    <w:multiLevelType w:val="hybridMultilevel"/>
    <w:tmpl w:val="4E683D88"/>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293933CB"/>
    <w:multiLevelType w:val="hybridMultilevel"/>
    <w:tmpl w:val="7DA2388A"/>
    <w:lvl w:ilvl="0" w:tplc="080A0013">
      <w:start w:val="1"/>
      <w:numFmt w:val="upperRoman"/>
      <w:lvlText w:val="%1."/>
      <w:lvlJc w:val="right"/>
      <w:pPr>
        <w:ind w:left="1571" w:hanging="360"/>
      </w:pPr>
      <w:rPr>
        <w:rFonts w:cs="Times New Roman"/>
      </w:rPr>
    </w:lvl>
    <w:lvl w:ilvl="1" w:tplc="080A0019" w:tentative="1">
      <w:start w:val="1"/>
      <w:numFmt w:val="lowerLetter"/>
      <w:lvlText w:val="%2."/>
      <w:lvlJc w:val="left"/>
      <w:pPr>
        <w:ind w:left="2291" w:hanging="360"/>
      </w:pPr>
      <w:rPr>
        <w:rFonts w:cs="Times New Roman"/>
      </w:rPr>
    </w:lvl>
    <w:lvl w:ilvl="2" w:tplc="080A001B" w:tentative="1">
      <w:start w:val="1"/>
      <w:numFmt w:val="lowerRoman"/>
      <w:lvlText w:val="%3."/>
      <w:lvlJc w:val="right"/>
      <w:pPr>
        <w:ind w:left="3011" w:hanging="180"/>
      </w:pPr>
      <w:rPr>
        <w:rFonts w:cs="Times New Roman"/>
      </w:rPr>
    </w:lvl>
    <w:lvl w:ilvl="3" w:tplc="080A000F" w:tentative="1">
      <w:start w:val="1"/>
      <w:numFmt w:val="decimal"/>
      <w:lvlText w:val="%4."/>
      <w:lvlJc w:val="left"/>
      <w:pPr>
        <w:ind w:left="3731" w:hanging="360"/>
      </w:pPr>
      <w:rPr>
        <w:rFonts w:cs="Times New Roman"/>
      </w:rPr>
    </w:lvl>
    <w:lvl w:ilvl="4" w:tplc="080A0019" w:tentative="1">
      <w:start w:val="1"/>
      <w:numFmt w:val="lowerLetter"/>
      <w:lvlText w:val="%5."/>
      <w:lvlJc w:val="left"/>
      <w:pPr>
        <w:ind w:left="4451" w:hanging="360"/>
      </w:pPr>
      <w:rPr>
        <w:rFonts w:cs="Times New Roman"/>
      </w:rPr>
    </w:lvl>
    <w:lvl w:ilvl="5" w:tplc="080A001B" w:tentative="1">
      <w:start w:val="1"/>
      <w:numFmt w:val="lowerRoman"/>
      <w:lvlText w:val="%6."/>
      <w:lvlJc w:val="right"/>
      <w:pPr>
        <w:ind w:left="5171" w:hanging="180"/>
      </w:pPr>
      <w:rPr>
        <w:rFonts w:cs="Times New Roman"/>
      </w:rPr>
    </w:lvl>
    <w:lvl w:ilvl="6" w:tplc="080A000F" w:tentative="1">
      <w:start w:val="1"/>
      <w:numFmt w:val="decimal"/>
      <w:lvlText w:val="%7."/>
      <w:lvlJc w:val="left"/>
      <w:pPr>
        <w:ind w:left="5891" w:hanging="360"/>
      </w:pPr>
      <w:rPr>
        <w:rFonts w:cs="Times New Roman"/>
      </w:rPr>
    </w:lvl>
    <w:lvl w:ilvl="7" w:tplc="080A0019" w:tentative="1">
      <w:start w:val="1"/>
      <w:numFmt w:val="lowerLetter"/>
      <w:lvlText w:val="%8."/>
      <w:lvlJc w:val="left"/>
      <w:pPr>
        <w:ind w:left="6611" w:hanging="360"/>
      </w:pPr>
      <w:rPr>
        <w:rFonts w:cs="Times New Roman"/>
      </w:rPr>
    </w:lvl>
    <w:lvl w:ilvl="8" w:tplc="080A001B" w:tentative="1">
      <w:start w:val="1"/>
      <w:numFmt w:val="lowerRoman"/>
      <w:lvlText w:val="%9."/>
      <w:lvlJc w:val="right"/>
      <w:pPr>
        <w:ind w:left="7331" w:hanging="180"/>
      </w:pPr>
      <w:rPr>
        <w:rFonts w:cs="Times New Roman"/>
      </w:rPr>
    </w:lvl>
  </w:abstractNum>
  <w:abstractNum w:abstractNumId="2">
    <w:nsid w:val="30AD0890"/>
    <w:multiLevelType w:val="hybridMultilevel"/>
    <w:tmpl w:val="3E34E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258170F"/>
    <w:multiLevelType w:val="hybridMultilevel"/>
    <w:tmpl w:val="00DAF80E"/>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nsid w:val="338C477B"/>
    <w:multiLevelType w:val="hybridMultilevel"/>
    <w:tmpl w:val="354C2B60"/>
    <w:lvl w:ilvl="0" w:tplc="F2B2491C">
      <w:start w:val="1"/>
      <w:numFmt w:val="lowerRoman"/>
      <w:lvlText w:val="%1."/>
      <w:lvlJc w:val="left"/>
      <w:pPr>
        <w:ind w:left="1080" w:hanging="720"/>
      </w:pPr>
      <w:rPr>
        <w:rFonts w:eastAsia="Times New Roman"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nsid w:val="3E6E50DC"/>
    <w:multiLevelType w:val="hybridMultilevel"/>
    <w:tmpl w:val="791A4F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8384094"/>
    <w:multiLevelType w:val="hybridMultilevel"/>
    <w:tmpl w:val="953A472E"/>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nsid w:val="4B430A13"/>
    <w:multiLevelType w:val="hybridMultilevel"/>
    <w:tmpl w:val="C7FA5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C1F087A"/>
    <w:multiLevelType w:val="hybridMultilevel"/>
    <w:tmpl w:val="B38CA06E"/>
    <w:lvl w:ilvl="0" w:tplc="86E0A368">
      <w:start w:val="11"/>
      <w:numFmt w:val="bullet"/>
      <w:lvlText w:val="•"/>
      <w:lvlJc w:val="left"/>
      <w:pPr>
        <w:ind w:left="1080" w:hanging="360"/>
      </w:pPr>
      <w:rPr>
        <w:rFonts w:ascii="Arial" w:eastAsia="Times New Roman" w:hAnsi="Aria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4FD30B5B"/>
    <w:multiLevelType w:val="hybridMultilevel"/>
    <w:tmpl w:val="A4CE0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80A3B96"/>
    <w:multiLevelType w:val="hybridMultilevel"/>
    <w:tmpl w:val="7166E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84763C4"/>
    <w:multiLevelType w:val="hybridMultilevel"/>
    <w:tmpl w:val="4E683D88"/>
    <w:lvl w:ilvl="0" w:tplc="0C0A001B">
      <w:start w:val="1"/>
      <w:numFmt w:val="lowerRoman"/>
      <w:lvlText w:val="%1."/>
      <w:lvlJc w:val="righ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nsid w:val="5A8F791A"/>
    <w:multiLevelType w:val="hybridMultilevel"/>
    <w:tmpl w:val="7FFA32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1456316"/>
    <w:multiLevelType w:val="hybridMultilevel"/>
    <w:tmpl w:val="33467722"/>
    <w:lvl w:ilvl="0" w:tplc="080A0013">
      <w:start w:val="1"/>
      <w:numFmt w:val="upperRoman"/>
      <w:lvlText w:val="%1."/>
      <w:lvlJc w:val="righ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nsid w:val="6D343D69"/>
    <w:multiLevelType w:val="hybridMultilevel"/>
    <w:tmpl w:val="34BA5538"/>
    <w:lvl w:ilvl="0" w:tplc="080A001B">
      <w:start w:val="1"/>
      <w:numFmt w:val="lowerRoman"/>
      <w:lvlText w:val="%1."/>
      <w:lvlJc w:val="righ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6D83046E"/>
    <w:multiLevelType w:val="hybridMultilevel"/>
    <w:tmpl w:val="2384CF2C"/>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70971416"/>
    <w:multiLevelType w:val="hybridMultilevel"/>
    <w:tmpl w:val="993C0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34B41F9"/>
    <w:multiLevelType w:val="hybridMultilevel"/>
    <w:tmpl w:val="57469866"/>
    <w:lvl w:ilvl="0" w:tplc="86E0A368">
      <w:start w:val="1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5905811"/>
    <w:multiLevelType w:val="hybridMultilevel"/>
    <w:tmpl w:val="BF2A2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5B1686E"/>
    <w:multiLevelType w:val="hybridMultilevel"/>
    <w:tmpl w:val="44BE7A3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nsid w:val="770C5328"/>
    <w:multiLevelType w:val="hybridMultilevel"/>
    <w:tmpl w:val="B2F4D9BE"/>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nsid w:val="7C115D2F"/>
    <w:multiLevelType w:val="hybridMultilevel"/>
    <w:tmpl w:val="D1D43E76"/>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nsid w:val="7C6D3ACE"/>
    <w:multiLevelType w:val="hybridMultilevel"/>
    <w:tmpl w:val="0F62819A"/>
    <w:lvl w:ilvl="0" w:tplc="0C08F81C">
      <w:start w:val="1"/>
      <w:numFmt w:val="low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6"/>
  </w:num>
  <w:num w:numId="2">
    <w:abstractNumId w:val="15"/>
  </w:num>
  <w:num w:numId="3">
    <w:abstractNumId w:val="20"/>
  </w:num>
  <w:num w:numId="4">
    <w:abstractNumId w:val="3"/>
  </w:num>
  <w:num w:numId="5">
    <w:abstractNumId w:val="21"/>
  </w:num>
  <w:num w:numId="6">
    <w:abstractNumId w:val="19"/>
  </w:num>
  <w:num w:numId="7">
    <w:abstractNumId w:val="22"/>
  </w:num>
  <w:num w:numId="8">
    <w:abstractNumId w:val="1"/>
  </w:num>
  <w:num w:numId="9">
    <w:abstractNumId w:val="4"/>
  </w:num>
  <w:num w:numId="10">
    <w:abstractNumId w:val="5"/>
  </w:num>
  <w:num w:numId="11">
    <w:abstractNumId w:val="13"/>
  </w:num>
  <w:num w:numId="12">
    <w:abstractNumId w:val="17"/>
  </w:num>
  <w:num w:numId="13">
    <w:abstractNumId w:val="8"/>
  </w:num>
  <w:num w:numId="14">
    <w:abstractNumId w:val="16"/>
  </w:num>
  <w:num w:numId="15">
    <w:abstractNumId w:val="10"/>
  </w:num>
  <w:num w:numId="16">
    <w:abstractNumId w:val="0"/>
  </w:num>
  <w:num w:numId="17">
    <w:abstractNumId w:val="7"/>
  </w:num>
  <w:num w:numId="18">
    <w:abstractNumId w:val="2"/>
  </w:num>
  <w:num w:numId="19">
    <w:abstractNumId w:val="11"/>
  </w:num>
  <w:num w:numId="20">
    <w:abstractNumId w:val="18"/>
  </w:num>
  <w:num w:numId="21">
    <w:abstractNumId w:val="14"/>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E4"/>
    <w:rsid w:val="00005453"/>
    <w:rsid w:val="00006324"/>
    <w:rsid w:val="00011728"/>
    <w:rsid w:val="0002283B"/>
    <w:rsid w:val="00024FF8"/>
    <w:rsid w:val="00026262"/>
    <w:rsid w:val="00032C64"/>
    <w:rsid w:val="00041169"/>
    <w:rsid w:val="00046AF9"/>
    <w:rsid w:val="00051FB5"/>
    <w:rsid w:val="00052A4F"/>
    <w:rsid w:val="0006384A"/>
    <w:rsid w:val="000825A4"/>
    <w:rsid w:val="000A1B91"/>
    <w:rsid w:val="000A3E09"/>
    <w:rsid w:val="000B0A16"/>
    <w:rsid w:val="000B4345"/>
    <w:rsid w:val="000B6504"/>
    <w:rsid w:val="000D72D2"/>
    <w:rsid w:val="000E372A"/>
    <w:rsid w:val="0010152F"/>
    <w:rsid w:val="001037C8"/>
    <w:rsid w:val="0011319B"/>
    <w:rsid w:val="00116C72"/>
    <w:rsid w:val="0011713D"/>
    <w:rsid w:val="00131601"/>
    <w:rsid w:val="001355D2"/>
    <w:rsid w:val="0013566E"/>
    <w:rsid w:val="0014112F"/>
    <w:rsid w:val="001442F5"/>
    <w:rsid w:val="00146D5F"/>
    <w:rsid w:val="00160036"/>
    <w:rsid w:val="00163426"/>
    <w:rsid w:val="001679D7"/>
    <w:rsid w:val="00177783"/>
    <w:rsid w:val="001813C6"/>
    <w:rsid w:val="00190658"/>
    <w:rsid w:val="00193A33"/>
    <w:rsid w:val="001962CA"/>
    <w:rsid w:val="001A0429"/>
    <w:rsid w:val="001A65B3"/>
    <w:rsid w:val="001B2080"/>
    <w:rsid w:val="001C2BF3"/>
    <w:rsid w:val="001D647D"/>
    <w:rsid w:val="001E4C7B"/>
    <w:rsid w:val="001E791F"/>
    <w:rsid w:val="001F50A2"/>
    <w:rsid w:val="001F5E06"/>
    <w:rsid w:val="002130B2"/>
    <w:rsid w:val="00213D1C"/>
    <w:rsid w:val="002249EA"/>
    <w:rsid w:val="00230860"/>
    <w:rsid w:val="00241002"/>
    <w:rsid w:val="00242BFB"/>
    <w:rsid w:val="00247DFB"/>
    <w:rsid w:val="0025158F"/>
    <w:rsid w:val="00257D5E"/>
    <w:rsid w:val="00264FB9"/>
    <w:rsid w:val="00273D98"/>
    <w:rsid w:val="00275A2B"/>
    <w:rsid w:val="00284DDB"/>
    <w:rsid w:val="00287B57"/>
    <w:rsid w:val="00290835"/>
    <w:rsid w:val="002A2BF7"/>
    <w:rsid w:val="002A3375"/>
    <w:rsid w:val="002A3448"/>
    <w:rsid w:val="002B35ED"/>
    <w:rsid w:val="002B3B32"/>
    <w:rsid w:val="002C6300"/>
    <w:rsid w:val="002C713C"/>
    <w:rsid w:val="002D6926"/>
    <w:rsid w:val="002D78A7"/>
    <w:rsid w:val="002D7E15"/>
    <w:rsid w:val="002F39C7"/>
    <w:rsid w:val="00303A83"/>
    <w:rsid w:val="00304A15"/>
    <w:rsid w:val="00313C22"/>
    <w:rsid w:val="00316A11"/>
    <w:rsid w:val="00317CC6"/>
    <w:rsid w:val="00320A2A"/>
    <w:rsid w:val="00322F10"/>
    <w:rsid w:val="00324587"/>
    <w:rsid w:val="00343283"/>
    <w:rsid w:val="00344643"/>
    <w:rsid w:val="003460A6"/>
    <w:rsid w:val="0036488A"/>
    <w:rsid w:val="003747C4"/>
    <w:rsid w:val="00380AF4"/>
    <w:rsid w:val="0038445D"/>
    <w:rsid w:val="00390EF0"/>
    <w:rsid w:val="003942FC"/>
    <w:rsid w:val="003A0FCB"/>
    <w:rsid w:val="003B6357"/>
    <w:rsid w:val="003C0624"/>
    <w:rsid w:val="003C1F36"/>
    <w:rsid w:val="003C39E9"/>
    <w:rsid w:val="003C3F19"/>
    <w:rsid w:val="003D28FD"/>
    <w:rsid w:val="003D7FA7"/>
    <w:rsid w:val="003E375E"/>
    <w:rsid w:val="003E7BD7"/>
    <w:rsid w:val="003F08E9"/>
    <w:rsid w:val="00403DC0"/>
    <w:rsid w:val="00415030"/>
    <w:rsid w:val="00416080"/>
    <w:rsid w:val="0042046C"/>
    <w:rsid w:val="00420DC8"/>
    <w:rsid w:val="004457F3"/>
    <w:rsid w:val="004470AA"/>
    <w:rsid w:val="004530CB"/>
    <w:rsid w:val="00457134"/>
    <w:rsid w:val="004573AC"/>
    <w:rsid w:val="00472AFD"/>
    <w:rsid w:val="0047337C"/>
    <w:rsid w:val="004752F0"/>
    <w:rsid w:val="00481BFB"/>
    <w:rsid w:val="004820D2"/>
    <w:rsid w:val="00482A21"/>
    <w:rsid w:val="0048607F"/>
    <w:rsid w:val="00490EE5"/>
    <w:rsid w:val="004936A8"/>
    <w:rsid w:val="00493873"/>
    <w:rsid w:val="00494907"/>
    <w:rsid w:val="004A219A"/>
    <w:rsid w:val="004A655F"/>
    <w:rsid w:val="004B025A"/>
    <w:rsid w:val="004C00DC"/>
    <w:rsid w:val="004C66AA"/>
    <w:rsid w:val="004D0EE9"/>
    <w:rsid w:val="004E3678"/>
    <w:rsid w:val="004E3F33"/>
    <w:rsid w:val="004F5FCA"/>
    <w:rsid w:val="00506500"/>
    <w:rsid w:val="005107A4"/>
    <w:rsid w:val="00517392"/>
    <w:rsid w:val="0052787C"/>
    <w:rsid w:val="005312CC"/>
    <w:rsid w:val="005522E4"/>
    <w:rsid w:val="00555B30"/>
    <w:rsid w:val="005568E9"/>
    <w:rsid w:val="00564D65"/>
    <w:rsid w:val="00565E13"/>
    <w:rsid w:val="005671B0"/>
    <w:rsid w:val="00575E35"/>
    <w:rsid w:val="00576B1E"/>
    <w:rsid w:val="00576F74"/>
    <w:rsid w:val="00580079"/>
    <w:rsid w:val="00581D22"/>
    <w:rsid w:val="00583844"/>
    <w:rsid w:val="0058396F"/>
    <w:rsid w:val="005A3CFA"/>
    <w:rsid w:val="005B193B"/>
    <w:rsid w:val="005B27AF"/>
    <w:rsid w:val="005B55AF"/>
    <w:rsid w:val="005B5BE5"/>
    <w:rsid w:val="005B69CA"/>
    <w:rsid w:val="005C4A98"/>
    <w:rsid w:val="005C6076"/>
    <w:rsid w:val="005C7A1D"/>
    <w:rsid w:val="005D01D4"/>
    <w:rsid w:val="005D3C32"/>
    <w:rsid w:val="005E6406"/>
    <w:rsid w:val="005E650A"/>
    <w:rsid w:val="005E71B1"/>
    <w:rsid w:val="005F282A"/>
    <w:rsid w:val="005F2998"/>
    <w:rsid w:val="005F439C"/>
    <w:rsid w:val="00605D9B"/>
    <w:rsid w:val="00612A5F"/>
    <w:rsid w:val="0062054A"/>
    <w:rsid w:val="00620EC8"/>
    <w:rsid w:val="00635111"/>
    <w:rsid w:val="00647730"/>
    <w:rsid w:val="00654ED2"/>
    <w:rsid w:val="0067179B"/>
    <w:rsid w:val="006828FE"/>
    <w:rsid w:val="006978FE"/>
    <w:rsid w:val="006A1458"/>
    <w:rsid w:val="006A1E28"/>
    <w:rsid w:val="006A44BA"/>
    <w:rsid w:val="006A485D"/>
    <w:rsid w:val="006A7236"/>
    <w:rsid w:val="006A7F28"/>
    <w:rsid w:val="006B7194"/>
    <w:rsid w:val="006B77DF"/>
    <w:rsid w:val="006C26D1"/>
    <w:rsid w:val="006C6077"/>
    <w:rsid w:val="006D0010"/>
    <w:rsid w:val="006D1E7D"/>
    <w:rsid w:val="006D7C9E"/>
    <w:rsid w:val="006E747B"/>
    <w:rsid w:val="006F38F9"/>
    <w:rsid w:val="007037E9"/>
    <w:rsid w:val="00703F3C"/>
    <w:rsid w:val="007064BE"/>
    <w:rsid w:val="00707D96"/>
    <w:rsid w:val="00707F82"/>
    <w:rsid w:val="00721B70"/>
    <w:rsid w:val="00730CE8"/>
    <w:rsid w:val="0073219D"/>
    <w:rsid w:val="00733C18"/>
    <w:rsid w:val="00735B7A"/>
    <w:rsid w:val="00746DB1"/>
    <w:rsid w:val="007512B0"/>
    <w:rsid w:val="00761388"/>
    <w:rsid w:val="00766670"/>
    <w:rsid w:val="0077135E"/>
    <w:rsid w:val="007723E8"/>
    <w:rsid w:val="00774D72"/>
    <w:rsid w:val="007804EE"/>
    <w:rsid w:val="007832B7"/>
    <w:rsid w:val="00784D2F"/>
    <w:rsid w:val="00784EFE"/>
    <w:rsid w:val="007864DD"/>
    <w:rsid w:val="00793760"/>
    <w:rsid w:val="00794600"/>
    <w:rsid w:val="0079675C"/>
    <w:rsid w:val="007969FF"/>
    <w:rsid w:val="007B2348"/>
    <w:rsid w:val="007C383A"/>
    <w:rsid w:val="007C41B7"/>
    <w:rsid w:val="007C5650"/>
    <w:rsid w:val="007D2105"/>
    <w:rsid w:val="007D3380"/>
    <w:rsid w:val="007D498A"/>
    <w:rsid w:val="007D73D1"/>
    <w:rsid w:val="007E31D9"/>
    <w:rsid w:val="007E5739"/>
    <w:rsid w:val="007E66F6"/>
    <w:rsid w:val="007F0D95"/>
    <w:rsid w:val="008002C9"/>
    <w:rsid w:val="008161C7"/>
    <w:rsid w:val="00816B55"/>
    <w:rsid w:val="00821B63"/>
    <w:rsid w:val="00824503"/>
    <w:rsid w:val="00833BA5"/>
    <w:rsid w:val="008415A2"/>
    <w:rsid w:val="00843C7B"/>
    <w:rsid w:val="0084400D"/>
    <w:rsid w:val="00844414"/>
    <w:rsid w:val="008472FD"/>
    <w:rsid w:val="00853B3E"/>
    <w:rsid w:val="00855FB6"/>
    <w:rsid w:val="00856925"/>
    <w:rsid w:val="00862FAD"/>
    <w:rsid w:val="00863474"/>
    <w:rsid w:val="00863D15"/>
    <w:rsid w:val="00866859"/>
    <w:rsid w:val="00871829"/>
    <w:rsid w:val="008875EC"/>
    <w:rsid w:val="00893150"/>
    <w:rsid w:val="00896005"/>
    <w:rsid w:val="00897ABA"/>
    <w:rsid w:val="008A2129"/>
    <w:rsid w:val="008B46FB"/>
    <w:rsid w:val="008B4F38"/>
    <w:rsid w:val="008C128B"/>
    <w:rsid w:val="008C259F"/>
    <w:rsid w:val="008C5704"/>
    <w:rsid w:val="008D7E51"/>
    <w:rsid w:val="008E6088"/>
    <w:rsid w:val="008F416E"/>
    <w:rsid w:val="008F71DC"/>
    <w:rsid w:val="008F72BE"/>
    <w:rsid w:val="0090217F"/>
    <w:rsid w:val="00911A2B"/>
    <w:rsid w:val="00915070"/>
    <w:rsid w:val="00917466"/>
    <w:rsid w:val="00925B74"/>
    <w:rsid w:val="0093496A"/>
    <w:rsid w:val="0094092E"/>
    <w:rsid w:val="009409BD"/>
    <w:rsid w:val="00942BD2"/>
    <w:rsid w:val="00945535"/>
    <w:rsid w:val="009554EA"/>
    <w:rsid w:val="00960058"/>
    <w:rsid w:val="00960847"/>
    <w:rsid w:val="0096385C"/>
    <w:rsid w:val="00964921"/>
    <w:rsid w:val="0096761C"/>
    <w:rsid w:val="009734B1"/>
    <w:rsid w:val="0097538B"/>
    <w:rsid w:val="00990A15"/>
    <w:rsid w:val="0099261B"/>
    <w:rsid w:val="00996CB8"/>
    <w:rsid w:val="009A7967"/>
    <w:rsid w:val="009B1B22"/>
    <w:rsid w:val="009B1C68"/>
    <w:rsid w:val="009B5780"/>
    <w:rsid w:val="009C6931"/>
    <w:rsid w:val="009E617F"/>
    <w:rsid w:val="009F7DBA"/>
    <w:rsid w:val="00A01A72"/>
    <w:rsid w:val="00A05605"/>
    <w:rsid w:val="00A142B6"/>
    <w:rsid w:val="00A261AC"/>
    <w:rsid w:val="00A26A7E"/>
    <w:rsid w:val="00A27164"/>
    <w:rsid w:val="00A305C8"/>
    <w:rsid w:val="00A31451"/>
    <w:rsid w:val="00A3155E"/>
    <w:rsid w:val="00A342C4"/>
    <w:rsid w:val="00A43152"/>
    <w:rsid w:val="00A53F9E"/>
    <w:rsid w:val="00A6594F"/>
    <w:rsid w:val="00A84868"/>
    <w:rsid w:val="00A85849"/>
    <w:rsid w:val="00A87AD6"/>
    <w:rsid w:val="00A91C55"/>
    <w:rsid w:val="00A9352C"/>
    <w:rsid w:val="00AA3766"/>
    <w:rsid w:val="00AA3B2C"/>
    <w:rsid w:val="00AB4AF0"/>
    <w:rsid w:val="00AC4A42"/>
    <w:rsid w:val="00AD00A3"/>
    <w:rsid w:val="00AE1074"/>
    <w:rsid w:val="00AF5D30"/>
    <w:rsid w:val="00B023FC"/>
    <w:rsid w:val="00B03807"/>
    <w:rsid w:val="00B11D1C"/>
    <w:rsid w:val="00B2096D"/>
    <w:rsid w:val="00B33FA7"/>
    <w:rsid w:val="00B35531"/>
    <w:rsid w:val="00B355E8"/>
    <w:rsid w:val="00B3629D"/>
    <w:rsid w:val="00B41F36"/>
    <w:rsid w:val="00B47D22"/>
    <w:rsid w:val="00B70E78"/>
    <w:rsid w:val="00B7190E"/>
    <w:rsid w:val="00B768DC"/>
    <w:rsid w:val="00B87889"/>
    <w:rsid w:val="00B95326"/>
    <w:rsid w:val="00B9791E"/>
    <w:rsid w:val="00BA36C3"/>
    <w:rsid w:val="00BA3A47"/>
    <w:rsid w:val="00BA3CC9"/>
    <w:rsid w:val="00BA3F84"/>
    <w:rsid w:val="00BA7619"/>
    <w:rsid w:val="00BB6941"/>
    <w:rsid w:val="00BC5F5F"/>
    <w:rsid w:val="00BC633F"/>
    <w:rsid w:val="00BD17B2"/>
    <w:rsid w:val="00BE219F"/>
    <w:rsid w:val="00BE3AE7"/>
    <w:rsid w:val="00BE3DEB"/>
    <w:rsid w:val="00C0293E"/>
    <w:rsid w:val="00C029C0"/>
    <w:rsid w:val="00C033F2"/>
    <w:rsid w:val="00C049C3"/>
    <w:rsid w:val="00C04B7C"/>
    <w:rsid w:val="00C118AF"/>
    <w:rsid w:val="00C14CA0"/>
    <w:rsid w:val="00C159E0"/>
    <w:rsid w:val="00C33E7E"/>
    <w:rsid w:val="00C4234C"/>
    <w:rsid w:val="00C4301C"/>
    <w:rsid w:val="00C44C72"/>
    <w:rsid w:val="00C51610"/>
    <w:rsid w:val="00C634DE"/>
    <w:rsid w:val="00C6398A"/>
    <w:rsid w:val="00C639BC"/>
    <w:rsid w:val="00C64A5F"/>
    <w:rsid w:val="00C65310"/>
    <w:rsid w:val="00C80869"/>
    <w:rsid w:val="00C8747D"/>
    <w:rsid w:val="00CA1DAB"/>
    <w:rsid w:val="00CA272A"/>
    <w:rsid w:val="00CA372C"/>
    <w:rsid w:val="00CA6051"/>
    <w:rsid w:val="00CA71CF"/>
    <w:rsid w:val="00CB20B8"/>
    <w:rsid w:val="00CB6054"/>
    <w:rsid w:val="00CC4813"/>
    <w:rsid w:val="00CD11CF"/>
    <w:rsid w:val="00CD65BF"/>
    <w:rsid w:val="00CD785D"/>
    <w:rsid w:val="00CE2F09"/>
    <w:rsid w:val="00CE3D4E"/>
    <w:rsid w:val="00CE4ED2"/>
    <w:rsid w:val="00CF4BB4"/>
    <w:rsid w:val="00D04E64"/>
    <w:rsid w:val="00D10B5A"/>
    <w:rsid w:val="00D22D54"/>
    <w:rsid w:val="00D31CB0"/>
    <w:rsid w:val="00D463B7"/>
    <w:rsid w:val="00D46458"/>
    <w:rsid w:val="00D53F6B"/>
    <w:rsid w:val="00D56491"/>
    <w:rsid w:val="00D66D0E"/>
    <w:rsid w:val="00D70559"/>
    <w:rsid w:val="00D730D8"/>
    <w:rsid w:val="00D82E19"/>
    <w:rsid w:val="00D83B40"/>
    <w:rsid w:val="00D8611E"/>
    <w:rsid w:val="00D90E85"/>
    <w:rsid w:val="00D92101"/>
    <w:rsid w:val="00D924A4"/>
    <w:rsid w:val="00D96A76"/>
    <w:rsid w:val="00DA06A0"/>
    <w:rsid w:val="00DA715B"/>
    <w:rsid w:val="00DB5FF6"/>
    <w:rsid w:val="00DB72E4"/>
    <w:rsid w:val="00DC0CB0"/>
    <w:rsid w:val="00DC2CF9"/>
    <w:rsid w:val="00DC6994"/>
    <w:rsid w:val="00DC7EB8"/>
    <w:rsid w:val="00DD4786"/>
    <w:rsid w:val="00DE1D85"/>
    <w:rsid w:val="00DF450B"/>
    <w:rsid w:val="00DF5EF6"/>
    <w:rsid w:val="00DF7C81"/>
    <w:rsid w:val="00E16047"/>
    <w:rsid w:val="00E319D5"/>
    <w:rsid w:val="00E337DD"/>
    <w:rsid w:val="00E3425D"/>
    <w:rsid w:val="00E43916"/>
    <w:rsid w:val="00E546F8"/>
    <w:rsid w:val="00E56D62"/>
    <w:rsid w:val="00E56FAF"/>
    <w:rsid w:val="00E6223C"/>
    <w:rsid w:val="00E77797"/>
    <w:rsid w:val="00E86936"/>
    <w:rsid w:val="00EA4C68"/>
    <w:rsid w:val="00EA7011"/>
    <w:rsid w:val="00EB6BBD"/>
    <w:rsid w:val="00EC1254"/>
    <w:rsid w:val="00EC2A2C"/>
    <w:rsid w:val="00EC5956"/>
    <w:rsid w:val="00EC7FA2"/>
    <w:rsid w:val="00ED1A15"/>
    <w:rsid w:val="00ED1E06"/>
    <w:rsid w:val="00ED46DF"/>
    <w:rsid w:val="00EE2CD0"/>
    <w:rsid w:val="00EE33FD"/>
    <w:rsid w:val="00EE34A5"/>
    <w:rsid w:val="00EE43DB"/>
    <w:rsid w:val="00EE5632"/>
    <w:rsid w:val="00EF16A4"/>
    <w:rsid w:val="00EF2F74"/>
    <w:rsid w:val="00EF5539"/>
    <w:rsid w:val="00EF7A72"/>
    <w:rsid w:val="00F01166"/>
    <w:rsid w:val="00F10E0C"/>
    <w:rsid w:val="00F17CBE"/>
    <w:rsid w:val="00F214E5"/>
    <w:rsid w:val="00F21C05"/>
    <w:rsid w:val="00F22C15"/>
    <w:rsid w:val="00F30460"/>
    <w:rsid w:val="00F45667"/>
    <w:rsid w:val="00F5019E"/>
    <w:rsid w:val="00F71A92"/>
    <w:rsid w:val="00F73876"/>
    <w:rsid w:val="00F77405"/>
    <w:rsid w:val="00F80CE4"/>
    <w:rsid w:val="00F900E5"/>
    <w:rsid w:val="00F90CCF"/>
    <w:rsid w:val="00F923BA"/>
    <w:rsid w:val="00F94729"/>
    <w:rsid w:val="00FA1693"/>
    <w:rsid w:val="00FA497C"/>
    <w:rsid w:val="00FA6839"/>
    <w:rsid w:val="00FB7608"/>
    <w:rsid w:val="00FC530C"/>
    <w:rsid w:val="00FC5824"/>
    <w:rsid w:val="00FD0B5C"/>
    <w:rsid w:val="00FE28EF"/>
    <w:rsid w:val="00FF07A2"/>
    <w:rsid w:val="00FF2AED"/>
    <w:rsid w:val="00FF4C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B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DB72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DB72E4"/>
    <w:rPr>
      <w:rFonts w:ascii="Tahoma" w:hAnsi="Tahoma" w:cs="Tahoma"/>
      <w:sz w:val="16"/>
      <w:szCs w:val="16"/>
    </w:rPr>
  </w:style>
  <w:style w:type="paragraph" w:styleId="Sinespaciado">
    <w:name w:val="No Spacing"/>
    <w:uiPriority w:val="99"/>
    <w:qFormat/>
    <w:rsid w:val="006F38F9"/>
    <w:rPr>
      <w:sz w:val="22"/>
      <w:szCs w:val="22"/>
      <w:lang w:eastAsia="en-US"/>
    </w:rPr>
  </w:style>
  <w:style w:type="table" w:styleId="Tablaconcuadrcula">
    <w:name w:val="Table Grid"/>
    <w:basedOn w:val="Tablanormal"/>
    <w:uiPriority w:val="99"/>
    <w:rsid w:val="00B41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D46458"/>
    <w:pPr>
      <w:ind w:left="720"/>
      <w:contextualSpacing/>
    </w:pPr>
  </w:style>
  <w:style w:type="paragraph" w:styleId="Encabezado">
    <w:name w:val="header"/>
    <w:basedOn w:val="Normal"/>
    <w:link w:val="EncabezadoCar"/>
    <w:uiPriority w:val="99"/>
    <w:semiHidden/>
    <w:rsid w:val="00D46458"/>
    <w:pPr>
      <w:tabs>
        <w:tab w:val="center" w:pos="4419"/>
        <w:tab w:val="right" w:pos="8838"/>
      </w:tabs>
      <w:spacing w:after="0" w:line="240" w:lineRule="auto"/>
    </w:pPr>
  </w:style>
  <w:style w:type="character" w:customStyle="1" w:styleId="EncabezadoCar">
    <w:name w:val="Encabezado Car"/>
    <w:link w:val="Encabezado"/>
    <w:uiPriority w:val="99"/>
    <w:semiHidden/>
    <w:locked/>
    <w:rsid w:val="00D46458"/>
    <w:rPr>
      <w:rFonts w:cs="Times New Roman"/>
    </w:rPr>
  </w:style>
  <w:style w:type="paragraph" w:styleId="Piedepgina">
    <w:name w:val="footer"/>
    <w:basedOn w:val="Normal"/>
    <w:link w:val="PiedepginaCar"/>
    <w:uiPriority w:val="99"/>
    <w:rsid w:val="00D46458"/>
    <w:pPr>
      <w:tabs>
        <w:tab w:val="center" w:pos="4419"/>
        <w:tab w:val="right" w:pos="8838"/>
      </w:tabs>
      <w:spacing w:after="0" w:line="240" w:lineRule="auto"/>
    </w:pPr>
  </w:style>
  <w:style w:type="character" w:customStyle="1" w:styleId="PiedepginaCar">
    <w:name w:val="Pie de página Car"/>
    <w:link w:val="Piedepgina"/>
    <w:uiPriority w:val="99"/>
    <w:locked/>
    <w:rsid w:val="00D46458"/>
    <w:rPr>
      <w:rFonts w:cs="Times New Roman"/>
    </w:rPr>
  </w:style>
  <w:style w:type="character" w:styleId="Refdecomentario">
    <w:name w:val="annotation reference"/>
    <w:uiPriority w:val="99"/>
    <w:semiHidden/>
    <w:rsid w:val="00322F10"/>
    <w:rPr>
      <w:rFonts w:cs="Times New Roman"/>
      <w:sz w:val="16"/>
      <w:szCs w:val="16"/>
    </w:rPr>
  </w:style>
  <w:style w:type="paragraph" w:styleId="Textocomentario">
    <w:name w:val="annotation text"/>
    <w:basedOn w:val="Normal"/>
    <w:link w:val="TextocomentarioCar"/>
    <w:uiPriority w:val="99"/>
    <w:semiHidden/>
    <w:rsid w:val="00322F10"/>
    <w:pPr>
      <w:spacing w:line="240" w:lineRule="auto"/>
    </w:pPr>
    <w:rPr>
      <w:sz w:val="20"/>
      <w:szCs w:val="20"/>
    </w:rPr>
  </w:style>
  <w:style w:type="character" w:customStyle="1" w:styleId="TextocomentarioCar">
    <w:name w:val="Texto comentario Car"/>
    <w:link w:val="Textocomentario"/>
    <w:uiPriority w:val="99"/>
    <w:semiHidden/>
    <w:locked/>
    <w:rsid w:val="00322F10"/>
    <w:rPr>
      <w:rFonts w:cs="Times New Roman"/>
      <w:sz w:val="20"/>
      <w:szCs w:val="20"/>
    </w:rPr>
  </w:style>
  <w:style w:type="paragraph" w:styleId="Asuntodelcomentario">
    <w:name w:val="annotation subject"/>
    <w:basedOn w:val="Textocomentario"/>
    <w:next w:val="Textocomentario"/>
    <w:link w:val="AsuntodelcomentarioCar"/>
    <w:uiPriority w:val="99"/>
    <w:semiHidden/>
    <w:rsid w:val="00322F10"/>
    <w:rPr>
      <w:b/>
      <w:bCs/>
    </w:rPr>
  </w:style>
  <w:style w:type="character" w:customStyle="1" w:styleId="AsuntodelcomentarioCar">
    <w:name w:val="Asunto del comentario Car"/>
    <w:link w:val="Asuntodelcomentario"/>
    <w:uiPriority w:val="99"/>
    <w:semiHidden/>
    <w:locked/>
    <w:rsid w:val="00322F10"/>
    <w:rPr>
      <w:rFonts w:cs="Times New Roman"/>
      <w:b/>
      <w:bCs/>
      <w:sz w:val="20"/>
      <w:szCs w:val="20"/>
    </w:rPr>
  </w:style>
  <w:style w:type="paragraph" w:customStyle="1" w:styleId="Default">
    <w:name w:val="Default"/>
    <w:rsid w:val="007E5739"/>
    <w:pPr>
      <w:widowControl w:val="0"/>
      <w:autoSpaceDE w:val="0"/>
      <w:autoSpaceDN w:val="0"/>
      <w:adjustRightInd w:val="0"/>
    </w:pPr>
    <w:rPr>
      <w:rFonts w:ascii="Arial" w:eastAsia="Times New Roman" w:hAnsi="Arial" w:cs="Arial"/>
      <w:color w:val="000000"/>
      <w:sz w:val="24"/>
      <w:szCs w:val="24"/>
      <w:lang w:val="es-ES" w:eastAsia="es-ES"/>
    </w:rPr>
  </w:style>
  <w:style w:type="paragraph" w:styleId="NormalWeb">
    <w:name w:val="Normal (Web)"/>
    <w:basedOn w:val="Normal"/>
    <w:uiPriority w:val="99"/>
    <w:rsid w:val="00FA6839"/>
    <w:pPr>
      <w:spacing w:before="100" w:beforeAutospacing="1" w:after="100" w:afterAutospacing="1" w:line="240" w:lineRule="atLeast"/>
    </w:pPr>
    <w:rPr>
      <w:rFonts w:ascii="Times New Roman" w:eastAsia="Times New Roman" w:hAnsi="Times New Roman"/>
      <w:sz w:val="24"/>
      <w:szCs w:val="24"/>
      <w:lang w:eastAsia="es-MX"/>
    </w:rPr>
  </w:style>
  <w:style w:type="character" w:customStyle="1" w:styleId="txttexto1">
    <w:name w:val="txttexto1"/>
    <w:basedOn w:val="Fuentedeprrafopredeter"/>
    <w:rsid w:val="00564D65"/>
    <w:rPr>
      <w:color w:val="365F9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AB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DB72E4"/>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DB72E4"/>
    <w:rPr>
      <w:rFonts w:ascii="Tahoma" w:hAnsi="Tahoma" w:cs="Tahoma"/>
      <w:sz w:val="16"/>
      <w:szCs w:val="16"/>
    </w:rPr>
  </w:style>
  <w:style w:type="paragraph" w:styleId="Sinespaciado">
    <w:name w:val="No Spacing"/>
    <w:uiPriority w:val="99"/>
    <w:qFormat/>
    <w:rsid w:val="006F38F9"/>
    <w:rPr>
      <w:sz w:val="22"/>
      <w:szCs w:val="22"/>
      <w:lang w:eastAsia="en-US"/>
    </w:rPr>
  </w:style>
  <w:style w:type="table" w:styleId="Tablaconcuadrcula">
    <w:name w:val="Table Grid"/>
    <w:basedOn w:val="Tablanormal"/>
    <w:uiPriority w:val="99"/>
    <w:rsid w:val="00B41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99"/>
    <w:qFormat/>
    <w:rsid w:val="00D46458"/>
    <w:pPr>
      <w:ind w:left="720"/>
      <w:contextualSpacing/>
    </w:pPr>
  </w:style>
  <w:style w:type="paragraph" w:styleId="Encabezado">
    <w:name w:val="header"/>
    <w:basedOn w:val="Normal"/>
    <w:link w:val="EncabezadoCar"/>
    <w:uiPriority w:val="99"/>
    <w:semiHidden/>
    <w:rsid w:val="00D46458"/>
    <w:pPr>
      <w:tabs>
        <w:tab w:val="center" w:pos="4419"/>
        <w:tab w:val="right" w:pos="8838"/>
      </w:tabs>
      <w:spacing w:after="0" w:line="240" w:lineRule="auto"/>
    </w:pPr>
  </w:style>
  <w:style w:type="character" w:customStyle="1" w:styleId="EncabezadoCar">
    <w:name w:val="Encabezado Car"/>
    <w:link w:val="Encabezado"/>
    <w:uiPriority w:val="99"/>
    <w:semiHidden/>
    <w:locked/>
    <w:rsid w:val="00D46458"/>
    <w:rPr>
      <w:rFonts w:cs="Times New Roman"/>
    </w:rPr>
  </w:style>
  <w:style w:type="paragraph" w:styleId="Piedepgina">
    <w:name w:val="footer"/>
    <w:basedOn w:val="Normal"/>
    <w:link w:val="PiedepginaCar"/>
    <w:uiPriority w:val="99"/>
    <w:rsid w:val="00D46458"/>
    <w:pPr>
      <w:tabs>
        <w:tab w:val="center" w:pos="4419"/>
        <w:tab w:val="right" w:pos="8838"/>
      </w:tabs>
      <w:spacing w:after="0" w:line="240" w:lineRule="auto"/>
    </w:pPr>
  </w:style>
  <w:style w:type="character" w:customStyle="1" w:styleId="PiedepginaCar">
    <w:name w:val="Pie de página Car"/>
    <w:link w:val="Piedepgina"/>
    <w:uiPriority w:val="99"/>
    <w:locked/>
    <w:rsid w:val="00D46458"/>
    <w:rPr>
      <w:rFonts w:cs="Times New Roman"/>
    </w:rPr>
  </w:style>
  <w:style w:type="character" w:styleId="Refdecomentario">
    <w:name w:val="annotation reference"/>
    <w:uiPriority w:val="99"/>
    <w:semiHidden/>
    <w:rsid w:val="00322F10"/>
    <w:rPr>
      <w:rFonts w:cs="Times New Roman"/>
      <w:sz w:val="16"/>
      <w:szCs w:val="16"/>
    </w:rPr>
  </w:style>
  <w:style w:type="paragraph" w:styleId="Textocomentario">
    <w:name w:val="annotation text"/>
    <w:basedOn w:val="Normal"/>
    <w:link w:val="TextocomentarioCar"/>
    <w:uiPriority w:val="99"/>
    <w:semiHidden/>
    <w:rsid w:val="00322F10"/>
    <w:pPr>
      <w:spacing w:line="240" w:lineRule="auto"/>
    </w:pPr>
    <w:rPr>
      <w:sz w:val="20"/>
      <w:szCs w:val="20"/>
    </w:rPr>
  </w:style>
  <w:style w:type="character" w:customStyle="1" w:styleId="TextocomentarioCar">
    <w:name w:val="Texto comentario Car"/>
    <w:link w:val="Textocomentario"/>
    <w:uiPriority w:val="99"/>
    <w:semiHidden/>
    <w:locked/>
    <w:rsid w:val="00322F10"/>
    <w:rPr>
      <w:rFonts w:cs="Times New Roman"/>
      <w:sz w:val="20"/>
      <w:szCs w:val="20"/>
    </w:rPr>
  </w:style>
  <w:style w:type="paragraph" w:styleId="Asuntodelcomentario">
    <w:name w:val="annotation subject"/>
    <w:basedOn w:val="Textocomentario"/>
    <w:next w:val="Textocomentario"/>
    <w:link w:val="AsuntodelcomentarioCar"/>
    <w:uiPriority w:val="99"/>
    <w:semiHidden/>
    <w:rsid w:val="00322F10"/>
    <w:rPr>
      <w:b/>
      <w:bCs/>
    </w:rPr>
  </w:style>
  <w:style w:type="character" w:customStyle="1" w:styleId="AsuntodelcomentarioCar">
    <w:name w:val="Asunto del comentario Car"/>
    <w:link w:val="Asuntodelcomentario"/>
    <w:uiPriority w:val="99"/>
    <w:semiHidden/>
    <w:locked/>
    <w:rsid w:val="00322F10"/>
    <w:rPr>
      <w:rFonts w:cs="Times New Roman"/>
      <w:b/>
      <w:bCs/>
      <w:sz w:val="20"/>
      <w:szCs w:val="20"/>
    </w:rPr>
  </w:style>
  <w:style w:type="paragraph" w:customStyle="1" w:styleId="Default">
    <w:name w:val="Default"/>
    <w:rsid w:val="007E5739"/>
    <w:pPr>
      <w:widowControl w:val="0"/>
      <w:autoSpaceDE w:val="0"/>
      <w:autoSpaceDN w:val="0"/>
      <w:adjustRightInd w:val="0"/>
    </w:pPr>
    <w:rPr>
      <w:rFonts w:ascii="Arial" w:eastAsia="Times New Roman" w:hAnsi="Arial" w:cs="Arial"/>
      <w:color w:val="000000"/>
      <w:sz w:val="24"/>
      <w:szCs w:val="24"/>
      <w:lang w:val="es-ES" w:eastAsia="es-ES"/>
    </w:rPr>
  </w:style>
  <w:style w:type="paragraph" w:styleId="NormalWeb">
    <w:name w:val="Normal (Web)"/>
    <w:basedOn w:val="Normal"/>
    <w:uiPriority w:val="99"/>
    <w:rsid w:val="00FA6839"/>
    <w:pPr>
      <w:spacing w:before="100" w:beforeAutospacing="1" w:after="100" w:afterAutospacing="1" w:line="240" w:lineRule="atLeast"/>
    </w:pPr>
    <w:rPr>
      <w:rFonts w:ascii="Times New Roman" w:eastAsia="Times New Roman" w:hAnsi="Times New Roman"/>
      <w:sz w:val="24"/>
      <w:szCs w:val="24"/>
      <w:lang w:eastAsia="es-MX"/>
    </w:rPr>
  </w:style>
  <w:style w:type="character" w:customStyle="1" w:styleId="txttexto1">
    <w:name w:val="txttexto1"/>
    <w:basedOn w:val="Fuentedeprrafopredeter"/>
    <w:rsid w:val="00564D65"/>
    <w:rPr>
      <w:color w:val="365F9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667533">
      <w:marLeft w:val="0"/>
      <w:marRight w:val="0"/>
      <w:marTop w:val="0"/>
      <w:marBottom w:val="0"/>
      <w:divBdr>
        <w:top w:val="none" w:sz="0" w:space="0" w:color="auto"/>
        <w:left w:val="none" w:sz="0" w:space="0" w:color="auto"/>
        <w:bottom w:val="none" w:sz="0" w:space="0" w:color="auto"/>
        <w:right w:val="none" w:sz="0" w:space="0" w:color="auto"/>
      </w:divBdr>
    </w:div>
    <w:div w:id="20256675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jaruiz</dc:creator>
  <cp:lastModifiedBy>Nadia Anahid Manjarrez Hernandez</cp:lastModifiedBy>
  <cp:revision>3</cp:revision>
  <cp:lastPrinted>2010-07-21T05:56:00Z</cp:lastPrinted>
  <dcterms:created xsi:type="dcterms:W3CDTF">2016-09-05T21:05:00Z</dcterms:created>
  <dcterms:modified xsi:type="dcterms:W3CDTF">2016-09-06T21:14:00Z</dcterms:modified>
</cp:coreProperties>
</file>