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E17F" w14:textId="1F5B5F18" w:rsidR="004E35EF" w:rsidRDefault="005C60D9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5C60D9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Servicio de control de fauna nociva</w:t>
      </w:r>
      <w:r w:rsidR="004E35EF" w:rsidRPr="004E35EF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296F88FC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0FDA5223" w14:textId="3BF37640" w:rsidR="00A04DD4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88633776" w:history="1">
            <w:r w:rsidR="00A04DD4" w:rsidRPr="00975F5A">
              <w:rPr>
                <w:rStyle w:val="Hipervnculo"/>
                <w:noProof/>
              </w:rPr>
              <w:t>Requerimiento Técnico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_Toc188633776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2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458DCA34" w14:textId="1B74B848" w:rsidR="00A04DD4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77" w:history="1">
            <w:r w:rsidR="00A04DD4" w:rsidRPr="00975F5A">
              <w:rPr>
                <w:rStyle w:val="Hipervnculo"/>
                <w:noProof/>
              </w:rPr>
              <w:t>1.</w:t>
            </w:r>
            <w:r w:rsidR="00A04DD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04DD4" w:rsidRPr="00975F5A">
              <w:rPr>
                <w:rStyle w:val="Hipervnculo"/>
                <w:noProof/>
              </w:rPr>
              <w:t>Descripción de los Bienes o Servicios.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_Toc188633777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2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6B92FD49" w14:textId="73A38368" w:rsidR="00A04DD4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78" w:history="1">
            <w:r w:rsidR="00A04DD4" w:rsidRPr="00975F5A">
              <w:rPr>
                <w:rStyle w:val="Hipervnculo"/>
                <w:noProof/>
              </w:rPr>
              <w:t>2.</w:t>
            </w:r>
            <w:r w:rsidR="00A04DD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04DD4" w:rsidRPr="00975F5A">
              <w:rPr>
                <w:rStyle w:val="Hipervnculo"/>
                <w:noProof/>
              </w:rPr>
              <w:t>Características Técnicas del Servicio.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_Toc188633778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2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010BD5E8" w14:textId="709B0A6F" w:rsidR="00A04DD4" w:rsidRDefault="0000000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79" w:history="1">
            <w:r w:rsidR="00A04DD4" w:rsidRPr="00975F5A">
              <w:rPr>
                <w:rStyle w:val="Hipervnculo"/>
                <w:noProof/>
                <w:lang w:eastAsia="ar-SA"/>
              </w:rPr>
              <w:t>Lugar, Plazos y Condiciones.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_Toc188633779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3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3E19C67A" w14:textId="30AEE522" w:rsidR="00A04DD4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0" w:history="1">
            <w:r w:rsidR="00A04DD4" w:rsidRPr="00975F5A">
              <w:rPr>
                <w:rStyle w:val="Hipervnculo"/>
                <w:noProof/>
              </w:rPr>
              <w:t>1.</w:t>
            </w:r>
            <w:r w:rsidR="00A04DD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04DD4" w:rsidRPr="00975F5A">
              <w:rPr>
                <w:rStyle w:val="Hipervnculo"/>
                <w:noProof/>
              </w:rPr>
              <w:t>Lugar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_Toc188633780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3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7DDFFBB4" w14:textId="4D4F8754" w:rsidR="00A04DD4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1" w:history="1">
            <w:r w:rsidR="00A04DD4" w:rsidRPr="00975F5A">
              <w:rPr>
                <w:rStyle w:val="Hipervnculo"/>
                <w:noProof/>
              </w:rPr>
              <w:t>2.</w:t>
            </w:r>
            <w:r w:rsidR="00A04DD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04DD4" w:rsidRPr="00975F5A">
              <w:rPr>
                <w:rStyle w:val="Hipervnculo"/>
                <w:noProof/>
              </w:rPr>
              <w:t>Plazos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_Toc188633781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3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14C81557" w14:textId="5B3F98CF" w:rsidR="00A04DD4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2" w:history="1">
            <w:r w:rsidR="00A04DD4" w:rsidRPr="00975F5A">
              <w:rPr>
                <w:rStyle w:val="Hipervnculo"/>
                <w:noProof/>
              </w:rPr>
              <w:t>3.</w:t>
            </w:r>
            <w:r w:rsidR="00A04DD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04DD4" w:rsidRPr="00975F5A">
              <w:rPr>
                <w:rStyle w:val="Hipervnculo"/>
                <w:noProof/>
              </w:rPr>
              <w:t>Condiciones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_Toc188633782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3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5AE76247" w14:textId="001E8B34" w:rsidR="00A04DD4" w:rsidRDefault="0000000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3" w:history="1">
            <w:r w:rsidR="00A04DD4" w:rsidRPr="00975F5A">
              <w:rPr>
                <w:rStyle w:val="Hipervnculo"/>
                <w:noProof/>
              </w:rPr>
              <w:t>Ejecución de los servicios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_Toc188633783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3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79B2160E" w14:textId="52E9B2B4" w:rsidR="00A04DD4" w:rsidRDefault="0000000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4" w:history="1">
            <w:r w:rsidR="00A04DD4" w:rsidRPr="00975F5A">
              <w:rPr>
                <w:rStyle w:val="Hipervnculo"/>
                <w:noProof/>
              </w:rPr>
              <w:t>Recepción de los servicios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_Toc188633784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4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4005163D" w14:textId="54B1707B" w:rsidR="00A04DD4" w:rsidRDefault="0000000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5" w:history="1">
            <w:r w:rsidR="00A04DD4" w:rsidRPr="00975F5A">
              <w:rPr>
                <w:rStyle w:val="Hipervnculo"/>
                <w:noProof/>
                <w:lang w:eastAsia="ar-SA"/>
              </w:rPr>
              <w:t>Términos de la Contratación.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_Toc188633785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4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1E330571" w14:textId="29853A79" w:rsidR="00A04DD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6" w:history="1">
            <w:r w:rsidR="00A04DD4" w:rsidRPr="00975F5A">
              <w:rPr>
                <w:rStyle w:val="Hipervnculo"/>
                <w:noProof/>
              </w:rPr>
              <w:t>Vigencia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_Toc188633786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4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26648D61" w14:textId="48C22C4D" w:rsidR="00A04DD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7" w:history="1">
            <w:r w:rsidR="00A04DD4" w:rsidRPr="00975F5A">
              <w:rPr>
                <w:rStyle w:val="Hipervnculo"/>
                <w:noProof/>
              </w:rPr>
              <w:t>Garantía de Cumplimiento de Contrato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_Toc188633787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4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7A908718" w14:textId="5FFE07FE" w:rsidR="00A04DD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8" w:history="1">
            <w:r w:rsidR="00A04DD4" w:rsidRPr="00975F5A">
              <w:rPr>
                <w:rStyle w:val="Hipervnculo"/>
                <w:noProof/>
              </w:rPr>
              <w:t>Obligaciones del Proveedor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_Toc188633788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4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159BA127" w14:textId="3068CE7F" w:rsidR="00A04DD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89" w:history="1">
            <w:r w:rsidR="00A04DD4" w:rsidRPr="00975F5A">
              <w:rPr>
                <w:rStyle w:val="Hipervnculo"/>
                <w:noProof/>
              </w:rPr>
              <w:t>Garantía de Cumplimiento de Contrato.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_Toc188633789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4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0E820B58" w14:textId="465BBA2E" w:rsidR="00A04DD4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88633790" w:history="1">
            <w:r w:rsidR="00A04DD4" w:rsidRPr="00975F5A">
              <w:rPr>
                <w:rStyle w:val="Hipervnculo"/>
                <w:noProof/>
              </w:rPr>
              <w:t>Pago.</w:t>
            </w:r>
            <w:r w:rsidR="00A04DD4">
              <w:rPr>
                <w:noProof/>
                <w:webHidden/>
              </w:rPr>
              <w:tab/>
            </w:r>
            <w:r w:rsidR="00A04DD4">
              <w:rPr>
                <w:noProof/>
                <w:webHidden/>
              </w:rPr>
              <w:fldChar w:fldCharType="begin"/>
            </w:r>
            <w:r w:rsidR="00A04DD4">
              <w:rPr>
                <w:noProof/>
                <w:webHidden/>
              </w:rPr>
              <w:instrText xml:space="preserve"> PAGEREF _Toc188633790 \h </w:instrText>
            </w:r>
            <w:r w:rsidR="00A04DD4">
              <w:rPr>
                <w:noProof/>
                <w:webHidden/>
              </w:rPr>
            </w:r>
            <w:r w:rsidR="00A04DD4">
              <w:rPr>
                <w:noProof/>
                <w:webHidden/>
              </w:rPr>
              <w:fldChar w:fldCharType="separate"/>
            </w:r>
            <w:r w:rsidR="00E3478D">
              <w:rPr>
                <w:noProof/>
                <w:webHidden/>
              </w:rPr>
              <w:t>5</w:t>
            </w:r>
            <w:r w:rsidR="00A04DD4">
              <w:rPr>
                <w:noProof/>
                <w:webHidden/>
              </w:rPr>
              <w:fldChar w:fldCharType="end"/>
            </w:r>
          </w:hyperlink>
        </w:p>
        <w:p w14:paraId="20A4DF6F" w14:textId="2DF9EEF5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39A2BDB3" w14:textId="77777777" w:rsidR="00D34426" w:rsidRDefault="00D34426" w:rsidP="00BE3A67"/>
    <w:p w14:paraId="0AE95B5B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88633776"/>
      <w:r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88633777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Pr="00B373FD" w:rsidRDefault="00B373FD" w:rsidP="00B373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4896"/>
        <w:gridCol w:w="1046"/>
        <w:gridCol w:w="1048"/>
        <w:gridCol w:w="1079"/>
        <w:gridCol w:w="1338"/>
      </w:tblGrid>
      <w:tr w:rsidR="005C60D9" w:rsidRPr="005C60D9" w14:paraId="3E5021AA" w14:textId="77777777" w:rsidTr="005C60D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1C505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 xml:space="preserve">ANEXO NUMERO 1 (UNO) REQUERIMIENTO </w:t>
            </w:r>
          </w:p>
        </w:tc>
      </w:tr>
      <w:tr w:rsidR="005C60D9" w:rsidRPr="005C60D9" w14:paraId="4054766A" w14:textId="77777777" w:rsidTr="005C60D9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85039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bookmarkStart w:id="2" w:name="_Hlk188632372"/>
            <w:r w:rsidRPr="005C60D9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A6FE6" w14:textId="77777777" w:rsidR="005C60D9" w:rsidRPr="005C60D9" w:rsidRDefault="005C60D9" w:rsidP="005C60D9">
            <w:pPr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PARTIDA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3B88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BC594" w14:textId="77777777" w:rsidR="005C60D9" w:rsidRPr="005C60D9" w:rsidRDefault="005C60D9" w:rsidP="005C60D9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775C4" w14:textId="77777777" w:rsidR="005C60D9" w:rsidRPr="005C60D9" w:rsidRDefault="005C60D9" w:rsidP="005C60D9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DA01E" w14:textId="77777777" w:rsidR="005C60D9" w:rsidRPr="005C60D9" w:rsidRDefault="005C60D9" w:rsidP="005C60D9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5C60D9" w:rsidRPr="005C60D9" w14:paraId="333EBC8C" w14:textId="77777777" w:rsidTr="003040DA">
        <w:trPr>
          <w:trHeight w:val="225"/>
        </w:trPr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4FA058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2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0C70FA9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B08903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84EE91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0C0E62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PRECIO UNITARIO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4B1A5A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IMPORTE  </w:t>
            </w:r>
          </w:p>
        </w:tc>
      </w:tr>
      <w:tr w:rsidR="005C60D9" w:rsidRPr="005C60D9" w14:paraId="39ACD3F3" w14:textId="77777777" w:rsidTr="003040DA">
        <w:trPr>
          <w:trHeight w:val="43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41623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C60D9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F6EF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0DD6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metros cuadrados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E8A82" w14:textId="34ACA9FB" w:rsidR="005C60D9" w:rsidRPr="005C60D9" w:rsidRDefault="00E3478D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115,500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466CE" w14:textId="77777777" w:rsidR="005C60D9" w:rsidRPr="005C60D9" w:rsidRDefault="005C60D9" w:rsidP="005C60D9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Cs w:val="16"/>
                <w:lang w:val="es-MX" w:eastAsia="es-MX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D4EA" w14:textId="77777777" w:rsidR="005C60D9" w:rsidRPr="005C60D9" w:rsidRDefault="005C60D9" w:rsidP="005C60D9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Cs w:val="16"/>
                <w:lang w:val="es-MX" w:eastAsia="es-MX"/>
              </w:rPr>
              <w:t> </w:t>
            </w:r>
          </w:p>
        </w:tc>
      </w:tr>
      <w:bookmarkEnd w:id="2"/>
    </w:tbl>
    <w:p w14:paraId="1963B773" w14:textId="77777777" w:rsidR="00432E17" w:rsidRDefault="00432E17" w:rsidP="00432E17"/>
    <w:p w14:paraId="0017ABC9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3" w:name="_Toc188633778"/>
      <w:r>
        <w:t>Características Técnicas del Servicio.</w:t>
      </w:r>
      <w:bookmarkEnd w:id="3"/>
    </w:p>
    <w:p w14:paraId="02C6B36D" w14:textId="77777777" w:rsidR="00743089" w:rsidRPr="00743089" w:rsidRDefault="00743089" w:rsidP="00743089"/>
    <w:p w14:paraId="5BAF7845" w14:textId="24840ED6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E761F96" w14:textId="782BFFF3" w:rsidR="00A17171" w:rsidRPr="00A17171" w:rsidRDefault="005C60D9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>El servicio se realizará de manera mensual de una superficie de 10,500 m2 de acuerdo con lo siguiente: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8947B2B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>Esquema de monitoreo y control de trampas consistente en, fijación de trampa, plano de ubicación de trampas internas y externas, etiquetado y foliado de estaciones, colocación de trampas en puntos estratégicos, revisión de trampas internas y externas, entrega mensual de estadística de grado de infestación, informe de observaciones durante servicio, programa calendarizado de servicio, rotación de rodenticida (cebos autorizados por la EPA).</w:t>
      </w:r>
    </w:p>
    <w:p w14:paraId="23460CF8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16C5298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>Control integrado mediante saneamiento, métodos fisiomecanicos y químicos, poco accesibles entre el piso y paredes, sitio en donde los roedores o sus excretas hayan sido observadas, agujeros a lo largo de los muros etc. Evitando contaminar alimentos, utensilios o superficies que estén en contacto con ellos.</w:t>
      </w:r>
    </w:p>
    <w:p w14:paraId="43A97C84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81AB1FD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>Se deberá colocar trampas para animales como perros, gatos, tlacuaches.</w:t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</w:p>
    <w:p w14:paraId="132B0F2E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75F20A22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b/>
          <w:bCs/>
          <w:color w:val="C00000"/>
          <w:szCs w:val="16"/>
        </w:rPr>
        <w:t>Desinsectación</w:t>
      </w:r>
      <w:r w:rsidRPr="005C60D9">
        <w:rPr>
          <w:rFonts w:cs="Arial"/>
          <w:color w:val="C00000"/>
          <w:szCs w:val="16"/>
        </w:rPr>
        <w:t>.- suministro y aplicación de plaguicidas autorizados por la EPA ref. CICLOPLAFEST, por medio de aspersión: perímetro interior y exterior de instalaciones, nebulización en todas las áreas de la unidad internas y externas, áreas comunes estacionamientos, contenedores, control químico de plaguicidas utilizados con hoja de seguimiento para disposición de residuos ante SEMARNAT, certificado secretaria de salubridad, y certificado de productos biodegradables, programa de rotación de plaguicidas, planos de áreas de actividad, programa calendarizado</w:t>
      </w:r>
    </w:p>
    <w:p w14:paraId="617BC3EB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6417FB17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b/>
          <w:bCs/>
          <w:color w:val="C00000"/>
          <w:szCs w:val="16"/>
        </w:rPr>
        <w:t>Desratización</w:t>
      </w:r>
      <w:r w:rsidRPr="005C60D9">
        <w:rPr>
          <w:rFonts w:cs="Arial"/>
          <w:color w:val="C00000"/>
          <w:szCs w:val="16"/>
        </w:rPr>
        <w:t>: suministro e instalación de trampas de captura múltiple, estaciones de cebado, trampas adherentes, bebederos, suministro y aplicación de rodenticida autorizado por la EPA, registro de COFEPRIS, control de roedores,</w:t>
      </w:r>
    </w:p>
    <w:p w14:paraId="070890B4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23AFE7C1" w14:textId="4B370FED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b/>
          <w:bCs/>
          <w:color w:val="C00000"/>
          <w:szCs w:val="16"/>
        </w:rPr>
        <w:t xml:space="preserve"> </w:t>
      </w:r>
      <w:r w:rsidR="00A04DD4" w:rsidRPr="005C60D9">
        <w:rPr>
          <w:rFonts w:cs="Arial"/>
          <w:b/>
          <w:bCs/>
          <w:color w:val="C00000"/>
          <w:szCs w:val="16"/>
        </w:rPr>
        <w:t>Productos para utilizar</w:t>
      </w:r>
      <w:r w:rsidRPr="005C60D9">
        <w:rPr>
          <w:rFonts w:cs="Arial"/>
          <w:b/>
          <w:bCs/>
          <w:color w:val="C00000"/>
          <w:szCs w:val="16"/>
        </w:rPr>
        <w:t>:</w:t>
      </w:r>
      <w:r w:rsidRPr="005C60D9">
        <w:rPr>
          <w:rFonts w:cs="Arial"/>
          <w:color w:val="C00000"/>
          <w:szCs w:val="16"/>
        </w:rPr>
        <w:t xml:space="preserve"> El producto químico que se utilice en áreas de hospitalización, antes de iniciar cada servicio deberá presentarse el envase sellado y deberá ser grado hospitalario y deberá estar señalado textualmente en la etiqueta del producto, así como en la ficha técnica deberá cambiarse de producto cada 3 meses y se deberá de presentar la ficha técnica del producto antes de utilizarse.</w:t>
      </w:r>
    </w:p>
    <w:p w14:paraId="2E5A9DC6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6563736B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>El producto que se utilice en la rotación deberá ser grado hospitalario y deberá estar textualmente señalado en la etiqueta y ficha técnica del producto.</w:t>
      </w:r>
    </w:p>
    <w:p w14:paraId="334FBC71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</w:p>
    <w:p w14:paraId="14FD1C76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>El tratamiento químico se efectuará mediante la colocación de cebos rodenticidas dentro o al lado de madrigueras rincones, poco accesibles entre el piso y paredes.</w:t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</w:p>
    <w:p w14:paraId="4D399370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34DA0ED9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 xml:space="preserve">Se mantendrá una dotación ininterrumpida de cebo de ratas o ratones, en los lugares donde las fuentes de agua sean de difícil acceso, se colocaran cebos líquidos en recipientes no metálicos, la colocación de trampas de pegamento para ratas o ratones, deberán ser donde los roedores domésticos pasaran sobre las trampas cuando se trasladen a refugios y sitios donde se alimente (ruta de tránsito, cerca de madrigueras a lo largo de muros, etc.), evitando colgar las trampas donde la posibilidad de que otros animales domésticos se pongan en contacto con el pegamento  estas trampas deberán de estar </w:t>
      </w:r>
      <w:r w:rsidRPr="005C60D9">
        <w:rPr>
          <w:rFonts w:cs="Arial"/>
          <w:color w:val="C00000"/>
          <w:szCs w:val="16"/>
        </w:rPr>
        <w:lastRenderedPageBreak/>
        <w:t>numeradas y deberán tener la fecha de colocación, se deberá de entregar plano de ubicación de las trampas externas e internas.</w:t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</w:p>
    <w:p w14:paraId="2C786889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>Se deberá considerar nebulización de plafones en áreas de Nutrición y Dietética, ropería,</w:t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  <w:r w:rsidRPr="005C60D9">
        <w:rPr>
          <w:rFonts w:cs="Arial"/>
          <w:color w:val="C00000"/>
          <w:szCs w:val="16"/>
        </w:rPr>
        <w:tab/>
      </w:r>
    </w:p>
    <w:p w14:paraId="224F111C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1E62EB92" w14:textId="4E5021A2" w:rsidR="00A17171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>Personal: Todo el personal que realice los trabajos de control de fauna nociva deberá contar con uniforme con el logotipo de su empresa e implementos de seguridad personal durante el desempeño de sus funciones.</w:t>
      </w:r>
      <w:r w:rsidR="00A17171"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721A94C" w14:textId="50E99DC4" w:rsidR="000E50DD" w:rsidRPr="00072540" w:rsidRDefault="00A17171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administrador del contrato </w:t>
      </w:r>
      <w:r w:rsidR="005C60D9">
        <w:rPr>
          <w:rFonts w:cs="Arial"/>
          <w:color w:val="C00000"/>
          <w:szCs w:val="16"/>
        </w:rPr>
        <w:t xml:space="preserve">o auxiliar del administrador del contrato </w:t>
      </w:r>
      <w:r w:rsidRPr="00A17171">
        <w:rPr>
          <w:rFonts w:cs="Arial"/>
          <w:color w:val="C00000"/>
          <w:szCs w:val="16"/>
        </w:rPr>
        <w:t xml:space="preserve">dentro del periodo establecido para la entrega y se deberá de firmar acta entrega recepción.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3916E6E3" w14:textId="4D847818" w:rsidR="00320F28" w:rsidRDefault="005D233F" w:rsidP="00320F28">
      <w:pPr>
        <w:pStyle w:val="Ttulo1"/>
        <w:rPr>
          <w:lang w:eastAsia="ar-SA"/>
        </w:rPr>
      </w:pPr>
      <w:bookmarkStart w:id="4" w:name="_Toc188633779"/>
      <w:r>
        <w:rPr>
          <w:lang w:eastAsia="ar-SA"/>
        </w:rPr>
        <w:t xml:space="preserve">Lugar, Plazos </w:t>
      </w:r>
      <w:r w:rsidR="004E35EF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4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5" w:name="_Toc188633780"/>
      <w:r>
        <w:t>Lugar</w:t>
      </w:r>
      <w:bookmarkEnd w:id="5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6" w:name="_Toc188633781"/>
      <w:r>
        <w:t>Plazos</w:t>
      </w:r>
      <w:bookmarkEnd w:id="6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4E77114B" w14:textId="77777777" w:rsidR="004E35EF" w:rsidRDefault="004E35EF" w:rsidP="003A004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919"/>
        <w:gridCol w:w="1067"/>
        <w:gridCol w:w="1015"/>
        <w:gridCol w:w="1067"/>
        <w:gridCol w:w="1063"/>
      </w:tblGrid>
      <w:tr w:rsidR="005C60D9" w:rsidRPr="005C60D9" w14:paraId="56A83BE2" w14:textId="77777777" w:rsidTr="00F40AC7">
        <w:trPr>
          <w:trHeight w:val="492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7C4468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2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591A2E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Descripción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4E2CBA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de Medida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16C97E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a realizar</w:t>
            </w:r>
          </w:p>
        </w:tc>
        <w:tc>
          <w:tcPr>
            <w:tcW w:w="11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43CAC3B" w14:textId="7ED97F9E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Plaza para la ejecución</w:t>
            </w:r>
          </w:p>
        </w:tc>
      </w:tr>
      <w:tr w:rsidR="005C60D9" w:rsidRPr="005C60D9" w14:paraId="57D19655" w14:textId="77777777" w:rsidTr="00F40AC7">
        <w:trPr>
          <w:trHeight w:val="30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E2F09" w14:textId="77777777" w:rsidR="005C60D9" w:rsidRPr="005C60D9" w:rsidRDefault="005C60D9" w:rsidP="005C60D9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2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F2F42" w14:textId="77777777" w:rsidR="005C60D9" w:rsidRPr="005C60D9" w:rsidRDefault="005C60D9" w:rsidP="005C60D9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4B949" w14:textId="77777777" w:rsidR="005C60D9" w:rsidRPr="005C60D9" w:rsidRDefault="005C60D9" w:rsidP="005C60D9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51C34" w14:textId="77777777" w:rsidR="005C60D9" w:rsidRPr="005C60D9" w:rsidRDefault="005C60D9" w:rsidP="005C60D9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07EC4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INICIO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013816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TERMINO</w:t>
            </w:r>
          </w:p>
        </w:tc>
      </w:tr>
      <w:tr w:rsidR="005C60D9" w:rsidRPr="005C60D9" w14:paraId="09E78745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D2746" w14:textId="52CF2DFA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6D23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C735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20E3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55C5" w14:textId="6DD9053E" w:rsidR="005C60D9" w:rsidRPr="005C60D9" w:rsidRDefault="0067702F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18</w:t>
            </w:r>
            <w:r w:rsidR="005C60D9" w:rsidRPr="005C60D9">
              <w:rPr>
                <w:rFonts w:eastAsia="Times New Roman" w:cs="Calibri"/>
                <w:szCs w:val="16"/>
                <w:lang w:val="es-MX" w:eastAsia="es-MX"/>
              </w:rPr>
              <w:t>/02/2025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2DF9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21/02/2025</w:t>
            </w:r>
          </w:p>
        </w:tc>
      </w:tr>
      <w:tr w:rsidR="005C60D9" w:rsidRPr="005C60D9" w14:paraId="77B4136F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D256E" w14:textId="7123B80B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1ABC0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6C6D4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AA4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2C69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01/03/2025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462E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15/03/2025</w:t>
            </w:r>
          </w:p>
        </w:tc>
      </w:tr>
      <w:tr w:rsidR="005C60D9" w:rsidRPr="005C60D9" w14:paraId="6C1E4862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A748C" w14:textId="0258713D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5F600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415A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1481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A679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01/04/2025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C835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15/04/2025</w:t>
            </w:r>
          </w:p>
        </w:tc>
      </w:tr>
      <w:tr w:rsidR="005C60D9" w:rsidRPr="005C60D9" w14:paraId="1F7DFCCB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BBB1B" w14:textId="15FCF2BA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DD0B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A77E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64F8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1408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01/05/2025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665D8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15/05/2025</w:t>
            </w:r>
          </w:p>
        </w:tc>
      </w:tr>
      <w:tr w:rsidR="005C60D9" w:rsidRPr="005C60D9" w14:paraId="54B511A2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7ABBF" w14:textId="23F87A94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9A7A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6F6D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94D21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EAD1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01/06/2025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D2945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15/06/2025</w:t>
            </w:r>
          </w:p>
        </w:tc>
      </w:tr>
      <w:tr w:rsidR="005C60D9" w:rsidRPr="005C60D9" w14:paraId="141010D3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25E53" w14:textId="0E83424E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7443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0D93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9513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2B71E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01/07/2025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E318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15/07/2025</w:t>
            </w:r>
          </w:p>
        </w:tc>
      </w:tr>
      <w:tr w:rsidR="005C60D9" w:rsidRPr="005C60D9" w14:paraId="35FC2AFF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220EE" w14:textId="5C936933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61FBB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C1789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AB00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FCBC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01/08/2025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9B0E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15/08/2025</w:t>
            </w:r>
          </w:p>
        </w:tc>
      </w:tr>
      <w:tr w:rsidR="005C60D9" w:rsidRPr="005C60D9" w14:paraId="479C10AC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A5A58" w14:textId="1E37B294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B669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ACF2E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0D6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CFD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01/09/2025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0CC7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15/09/2025</w:t>
            </w:r>
          </w:p>
        </w:tc>
      </w:tr>
      <w:tr w:rsidR="005C60D9" w:rsidRPr="005C60D9" w14:paraId="503A576E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88348" w14:textId="59CAA491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311C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AB61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C8886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3FD1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01/10/2025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052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15/10/2025</w:t>
            </w:r>
          </w:p>
        </w:tc>
      </w:tr>
      <w:tr w:rsidR="005C60D9" w:rsidRPr="005C60D9" w14:paraId="1C3A5B5A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8E6C2" w14:textId="10E2759A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98B79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897B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1C6F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A5C4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01/11/2025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2911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15/11/2025</w:t>
            </w:r>
          </w:p>
        </w:tc>
      </w:tr>
      <w:tr w:rsidR="005C60D9" w:rsidRPr="005C60D9" w14:paraId="3FD07274" w14:textId="77777777" w:rsidTr="00F40AC7">
        <w:trPr>
          <w:trHeight w:val="30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F4DF0" w14:textId="03D2490A" w:rsidR="005C60D9" w:rsidRPr="005C60D9" w:rsidRDefault="00F40AC7" w:rsidP="005C60D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D932D" w14:textId="77777777" w:rsidR="005C60D9" w:rsidRPr="005C60D9" w:rsidRDefault="005C60D9" w:rsidP="005C60D9">
            <w:pPr>
              <w:rPr>
                <w:lang w:val="es-MX" w:eastAsia="es-MX"/>
              </w:rPr>
            </w:pPr>
            <w:r w:rsidRPr="005C60D9">
              <w:rPr>
                <w:lang w:val="es-MX" w:eastAsia="es-MX"/>
              </w:rPr>
              <w:t>Servicio de Control de Fauna Nociva.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41EE2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5C60D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8F8F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10,500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D110D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01/12/2025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41117" w14:textId="77777777" w:rsidR="005C60D9" w:rsidRPr="005C60D9" w:rsidRDefault="005C60D9" w:rsidP="005C60D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5C60D9">
              <w:rPr>
                <w:rFonts w:eastAsia="Times New Roman" w:cs="Calibri"/>
                <w:szCs w:val="16"/>
                <w:lang w:val="es-MX" w:eastAsia="es-MX"/>
              </w:rPr>
              <w:t>15/12/2025</w:t>
            </w:r>
          </w:p>
        </w:tc>
      </w:tr>
    </w:tbl>
    <w:p w14:paraId="3B37CFA7" w14:textId="77777777" w:rsidR="004E35EF" w:rsidRDefault="004E35EF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7" w:name="_Toc188633782"/>
      <w:r>
        <w:t>Condiciones</w:t>
      </w:r>
      <w:bookmarkEnd w:id="7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8" w:name="_Toc188633783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8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726ED43D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</w:t>
      </w:r>
      <w:r w:rsidR="005C60D9">
        <w:rPr>
          <w:sz w:val="16"/>
          <w:szCs w:val="16"/>
        </w:rPr>
        <w:t xml:space="preserve">Administrador del contrato </w:t>
      </w:r>
      <w:r w:rsidRPr="002A456F">
        <w:rPr>
          <w:sz w:val="16"/>
          <w:szCs w:val="16"/>
        </w:rPr>
        <w:t>y</w:t>
      </w:r>
      <w:r w:rsidR="005C60D9">
        <w:rPr>
          <w:sz w:val="16"/>
          <w:szCs w:val="16"/>
        </w:rPr>
        <w:t>/o</w:t>
      </w:r>
      <w:r w:rsidRPr="002A456F">
        <w:rPr>
          <w:sz w:val="16"/>
          <w:szCs w:val="16"/>
        </w:rPr>
        <w:t xml:space="preserve"> </w:t>
      </w:r>
      <w:r w:rsidR="005C60D9">
        <w:rPr>
          <w:sz w:val="16"/>
          <w:szCs w:val="16"/>
        </w:rPr>
        <w:t>auxiliar de administrador de contrato</w:t>
      </w:r>
      <w:r w:rsidRPr="002A456F">
        <w:rPr>
          <w:sz w:val="16"/>
          <w:szCs w:val="16"/>
        </w:rPr>
        <w:t xml:space="preserve">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40FF9DA7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 xml:space="preserve">y este será supervisado por el Administrador del Contrato o por </w:t>
      </w:r>
      <w:r w:rsidR="005C60D9">
        <w:rPr>
          <w:sz w:val="16"/>
          <w:szCs w:val="16"/>
        </w:rPr>
        <w:t>el</w:t>
      </w:r>
      <w:r w:rsidRPr="00083E68">
        <w:rPr>
          <w:sz w:val="16"/>
          <w:szCs w:val="16"/>
        </w:rPr>
        <w:t xml:space="preserve"> Auxiliar</w:t>
      </w:r>
      <w:r w:rsidR="005C60D9">
        <w:rPr>
          <w:sz w:val="16"/>
          <w:szCs w:val="16"/>
        </w:rPr>
        <w:t xml:space="preserve"> del administrador del contrato</w:t>
      </w:r>
      <w:r w:rsidRPr="00083E68">
        <w:rPr>
          <w:sz w:val="16"/>
          <w:szCs w:val="16"/>
        </w:rPr>
        <w:t xml:space="preserve"> verificando que este se ejecute </w:t>
      </w:r>
      <w:r w:rsidR="00485DE7" w:rsidRPr="00083E68">
        <w:rPr>
          <w:sz w:val="16"/>
          <w:szCs w:val="16"/>
        </w:rPr>
        <w:t>de acuerdo con</w:t>
      </w:r>
      <w:r w:rsidRPr="00083E68">
        <w:rPr>
          <w:sz w:val="16"/>
          <w:szCs w:val="16"/>
        </w:rPr>
        <w:t xml:space="preserve">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9" w:name="_Toc188633784"/>
      <w:r w:rsidRPr="00041998">
        <w:rPr>
          <w:rStyle w:val="Ttulo3Car"/>
        </w:rPr>
        <w:t>Recepción de los servicios</w:t>
      </w:r>
      <w:bookmarkEnd w:id="9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10" w:name="_Toc188633785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10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0F5742C1" w14:textId="49D24DAD" w:rsidR="003752CE" w:rsidRPr="00020701" w:rsidRDefault="00317350" w:rsidP="003752CE">
      <w:pPr>
        <w:rPr>
          <w:b/>
          <w:bCs/>
        </w:rPr>
      </w:pPr>
      <w:bookmarkStart w:id="11" w:name="_Toc188633786"/>
      <w:r>
        <w:rPr>
          <w:rStyle w:val="Ttulo2Car"/>
        </w:rPr>
        <w:t>Vigencia</w:t>
      </w:r>
      <w:bookmarkEnd w:id="11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485DE7">
        <w:rPr>
          <w:color w:val="C00000"/>
        </w:rPr>
        <w:t>31</w:t>
      </w:r>
      <w:r w:rsidRPr="00317350">
        <w:rPr>
          <w:color w:val="C00000"/>
        </w:rPr>
        <w:t xml:space="preserve"> de </w:t>
      </w:r>
      <w:r w:rsidR="00485DE7">
        <w:rPr>
          <w:color w:val="C00000"/>
        </w:rPr>
        <w:t>diciembre</w:t>
      </w:r>
      <w:r w:rsidRPr="00317350">
        <w:rPr>
          <w:color w:val="C00000"/>
        </w:rPr>
        <w:t xml:space="preserve"> del año </w:t>
      </w:r>
      <w:r w:rsidR="00485DE7">
        <w:rPr>
          <w:color w:val="C00000"/>
        </w:rPr>
        <w:t>2025</w:t>
      </w:r>
      <w:r w:rsidRPr="00317350">
        <w:rPr>
          <w:color w:val="C00000"/>
        </w:rPr>
        <w:t xml:space="preserve">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71C496B1" w14:textId="5C192008" w:rsidR="00B117C7" w:rsidRPr="00B117C7" w:rsidRDefault="004F5EAD" w:rsidP="00B117C7">
      <w:bookmarkStart w:id="12" w:name="_Toc188633787"/>
      <w:r w:rsidRPr="00B117C7">
        <w:rPr>
          <w:rStyle w:val="Ttulo2Car"/>
        </w:rPr>
        <w:t>Garantía de Cumplimiento de Contrato</w:t>
      </w:r>
      <w:bookmarkEnd w:id="12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3" w:name="_Toc188633788"/>
      <w:r>
        <w:rPr>
          <w:rStyle w:val="Ttulo2Car"/>
        </w:rPr>
        <w:t>Obligaciones del Proveedor</w:t>
      </w:r>
      <w:bookmarkEnd w:id="13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a </w:t>
      </w:r>
      <w:r w:rsidR="00323CA5">
        <w:t>:</w:t>
      </w:r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4D9AF98C" w:rsidR="003752CE" w:rsidRDefault="002609D2" w:rsidP="002609D2">
      <w:bookmarkStart w:id="14" w:name="_Toc188633789"/>
      <w:r w:rsidRPr="002609D2">
        <w:rPr>
          <w:rStyle w:val="Ttulo2Car"/>
        </w:rPr>
        <w:t>Garantía de Cumplimiento de Contrato.</w:t>
      </w:r>
      <w:bookmarkEnd w:id="14"/>
      <w:r w:rsidRPr="002609D2">
        <w:rPr>
          <w:b/>
          <w:bCs/>
        </w:rPr>
        <w:t xml:space="preserve"> </w:t>
      </w:r>
      <w:r w:rsidR="00684926" w:rsidRPr="00684926">
        <w:t>se obliga a entregar a favor de “el Instituto” Cheque certificado o de caja,  Fianza, seguro de caución o carta de crédito irrevocable, por el equivalente al 10% del monto total adjudicado antes del impuesto al valor agregado</w:t>
      </w:r>
      <w:r w:rsidR="00684926">
        <w:t xml:space="preserve">, </w:t>
      </w:r>
      <w:r w:rsidR="00684926" w:rsidRPr="00684926">
        <w:t>de conformidad con el artículo 103 del Reglamento de la Ley de Adquisiciones Arrendamientos y Servicios del Sector Público, publicado en el Diario Oficial de la Federación  el 15 de Septiembre de 2022.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00FD3B18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5" w:name="_Toc188633790"/>
      <w:r>
        <w:rPr>
          <w:rStyle w:val="Ttulo2Car"/>
        </w:rPr>
        <w:lastRenderedPageBreak/>
        <w:t>Pago</w:t>
      </w:r>
      <w:r w:rsidRPr="002609D2">
        <w:rPr>
          <w:rStyle w:val="Ttulo2Car"/>
        </w:rPr>
        <w:t>.</w:t>
      </w:r>
      <w:bookmarkEnd w:id="15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6" w:name="_Hlk161391744"/>
      <w:r>
        <w:t>.</w:t>
      </w:r>
    </w:p>
    <w:bookmarkEnd w:id="16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70BA" w14:textId="77777777" w:rsidR="007E4D36" w:rsidRDefault="007E4D36" w:rsidP="00984A99">
      <w:r>
        <w:separator/>
      </w:r>
    </w:p>
  </w:endnote>
  <w:endnote w:type="continuationSeparator" w:id="0">
    <w:p w14:paraId="144FD513" w14:textId="77777777" w:rsidR="007E4D36" w:rsidRDefault="007E4D36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6D074191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EAA6" w14:textId="77777777" w:rsidR="007E4D36" w:rsidRDefault="007E4D36" w:rsidP="00984A99">
      <w:r>
        <w:separator/>
      </w:r>
    </w:p>
  </w:footnote>
  <w:footnote w:type="continuationSeparator" w:id="0">
    <w:p w14:paraId="2BEC68DB" w14:textId="77777777" w:rsidR="007E4D36" w:rsidRDefault="007E4D36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72540"/>
    <w:rsid w:val="00083E68"/>
    <w:rsid w:val="00085F29"/>
    <w:rsid w:val="00086E14"/>
    <w:rsid w:val="00092D3E"/>
    <w:rsid w:val="0009378C"/>
    <w:rsid w:val="000A377D"/>
    <w:rsid w:val="000A3C56"/>
    <w:rsid w:val="000B3765"/>
    <w:rsid w:val="000C156D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7D00"/>
    <w:rsid w:val="002716F7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040DA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4D0F"/>
    <w:rsid w:val="00455708"/>
    <w:rsid w:val="00456F2C"/>
    <w:rsid w:val="00457F10"/>
    <w:rsid w:val="00467062"/>
    <w:rsid w:val="00485DE7"/>
    <w:rsid w:val="00492F1E"/>
    <w:rsid w:val="004A06BC"/>
    <w:rsid w:val="004B38FE"/>
    <w:rsid w:val="004C1131"/>
    <w:rsid w:val="004D4FC4"/>
    <w:rsid w:val="004D6635"/>
    <w:rsid w:val="004E1251"/>
    <w:rsid w:val="004E35EF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37EA5"/>
    <w:rsid w:val="00552D7F"/>
    <w:rsid w:val="00564B4F"/>
    <w:rsid w:val="00570363"/>
    <w:rsid w:val="0057480C"/>
    <w:rsid w:val="005950B0"/>
    <w:rsid w:val="00596D5B"/>
    <w:rsid w:val="005A5A49"/>
    <w:rsid w:val="005B681D"/>
    <w:rsid w:val="005C60D9"/>
    <w:rsid w:val="005C79F6"/>
    <w:rsid w:val="005D233F"/>
    <w:rsid w:val="005D3211"/>
    <w:rsid w:val="005E2755"/>
    <w:rsid w:val="005F0159"/>
    <w:rsid w:val="005F7946"/>
    <w:rsid w:val="00606BA6"/>
    <w:rsid w:val="006100FF"/>
    <w:rsid w:val="00617964"/>
    <w:rsid w:val="00623C5E"/>
    <w:rsid w:val="00624BB4"/>
    <w:rsid w:val="0065000A"/>
    <w:rsid w:val="0067702F"/>
    <w:rsid w:val="00684926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F8"/>
    <w:rsid w:val="007E4D36"/>
    <w:rsid w:val="007F17E8"/>
    <w:rsid w:val="008001E6"/>
    <w:rsid w:val="00804AE1"/>
    <w:rsid w:val="00813CFE"/>
    <w:rsid w:val="0082089C"/>
    <w:rsid w:val="00852A0E"/>
    <w:rsid w:val="008542B3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7465A"/>
    <w:rsid w:val="00976C62"/>
    <w:rsid w:val="00976F6C"/>
    <w:rsid w:val="00984A99"/>
    <w:rsid w:val="009A1514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04DD4"/>
    <w:rsid w:val="00A16EA9"/>
    <w:rsid w:val="00A17171"/>
    <w:rsid w:val="00A24B0C"/>
    <w:rsid w:val="00A3322D"/>
    <w:rsid w:val="00A36835"/>
    <w:rsid w:val="00A36AD5"/>
    <w:rsid w:val="00A42DA2"/>
    <w:rsid w:val="00A45688"/>
    <w:rsid w:val="00A50B00"/>
    <w:rsid w:val="00A54B6F"/>
    <w:rsid w:val="00A60000"/>
    <w:rsid w:val="00A60DC1"/>
    <w:rsid w:val="00A82773"/>
    <w:rsid w:val="00A90C2D"/>
    <w:rsid w:val="00A945C8"/>
    <w:rsid w:val="00A96FA8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6ECD"/>
    <w:rsid w:val="00BD7E6F"/>
    <w:rsid w:val="00BE1B80"/>
    <w:rsid w:val="00BE3A67"/>
    <w:rsid w:val="00BE7230"/>
    <w:rsid w:val="00BF1BF1"/>
    <w:rsid w:val="00C0639C"/>
    <w:rsid w:val="00C128D9"/>
    <w:rsid w:val="00C26875"/>
    <w:rsid w:val="00C37F94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3478D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40AC7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5</Pages>
  <Words>1943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17</cp:revision>
  <cp:lastPrinted>2025-02-24T20:40:00Z</cp:lastPrinted>
  <dcterms:created xsi:type="dcterms:W3CDTF">2024-05-24T21:25:00Z</dcterms:created>
  <dcterms:modified xsi:type="dcterms:W3CDTF">2025-04-03T19:53:00Z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