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6E17F" w14:textId="3C1EF2A4" w:rsidR="004E35EF" w:rsidRDefault="004E35EF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4E35EF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Servicio </w:t>
      </w:r>
      <w:r w:rsidR="000C156D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de mantenimiento de tapizado de mobiliario y fabricación de muebles de madera</w:t>
      </w:r>
      <w:r w:rsidRPr="004E35EF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 xml:space="preserve"> </w:t>
      </w:r>
    </w:p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296F88FC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3BC146A6" w14:textId="5585EF57" w:rsidR="004E35EF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68305798" w:history="1">
            <w:r w:rsidR="004E35EF" w:rsidRPr="009A5CFA">
              <w:rPr>
                <w:rStyle w:val="Hipervnculo"/>
                <w:noProof/>
              </w:rPr>
              <w:t>Requerimiento Técnico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_Toc168305798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2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00C02C0B" w14:textId="6D0D9CB8" w:rsidR="004E35E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799" w:history="1">
            <w:r w:rsidR="004E35EF" w:rsidRPr="009A5CFA">
              <w:rPr>
                <w:rStyle w:val="Hipervnculo"/>
                <w:noProof/>
              </w:rPr>
              <w:t>1.</w:t>
            </w:r>
            <w:r w:rsidR="004E35E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4E35EF" w:rsidRPr="009A5CFA">
              <w:rPr>
                <w:rStyle w:val="Hipervnculo"/>
                <w:noProof/>
              </w:rPr>
              <w:t>Descripción de los Bienes o Servicios.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_Toc168305799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2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67665E63" w14:textId="652E93BE" w:rsidR="004E35E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0" w:history="1">
            <w:r w:rsidR="004E35EF" w:rsidRPr="009A5CFA">
              <w:rPr>
                <w:rStyle w:val="Hipervnculo"/>
                <w:noProof/>
              </w:rPr>
              <w:t>2.</w:t>
            </w:r>
            <w:r w:rsidR="004E35E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4E35EF" w:rsidRPr="009A5CFA">
              <w:rPr>
                <w:rStyle w:val="Hipervnculo"/>
                <w:noProof/>
              </w:rPr>
              <w:t>Características Técnicas del Servicio.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_Toc168305800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2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5D3FE53D" w14:textId="199AA458" w:rsidR="004E35EF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1" w:history="1">
            <w:r w:rsidR="004E35EF" w:rsidRPr="009A5CFA">
              <w:rPr>
                <w:rStyle w:val="Hipervnculo"/>
                <w:noProof/>
                <w:lang w:eastAsia="ar-SA"/>
              </w:rPr>
              <w:t>Lugar, Plazos y Condiciones.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_Toc168305801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2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774A4254" w14:textId="1A8BD206" w:rsidR="004E35E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2" w:history="1">
            <w:r w:rsidR="004E35EF" w:rsidRPr="009A5CFA">
              <w:rPr>
                <w:rStyle w:val="Hipervnculo"/>
                <w:noProof/>
              </w:rPr>
              <w:t>1.</w:t>
            </w:r>
            <w:r w:rsidR="004E35E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4E35EF" w:rsidRPr="009A5CFA">
              <w:rPr>
                <w:rStyle w:val="Hipervnculo"/>
                <w:noProof/>
              </w:rPr>
              <w:t>Lugar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_Toc168305802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2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76DF834E" w14:textId="5F2F6FB7" w:rsidR="004E35E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3" w:history="1">
            <w:r w:rsidR="004E35EF" w:rsidRPr="009A5CFA">
              <w:rPr>
                <w:rStyle w:val="Hipervnculo"/>
                <w:noProof/>
              </w:rPr>
              <w:t>2.</w:t>
            </w:r>
            <w:r w:rsidR="004E35E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4E35EF" w:rsidRPr="009A5CFA">
              <w:rPr>
                <w:rStyle w:val="Hipervnculo"/>
                <w:noProof/>
              </w:rPr>
              <w:t>Plazos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_Toc168305803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2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77BD2BA9" w14:textId="3B17BD30" w:rsidR="004E35EF" w:rsidRDefault="00000000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4" w:history="1">
            <w:r w:rsidR="004E35EF" w:rsidRPr="009A5CFA">
              <w:rPr>
                <w:rStyle w:val="Hipervnculo"/>
                <w:noProof/>
              </w:rPr>
              <w:t>3.</w:t>
            </w:r>
            <w:r w:rsidR="004E35EF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4E35EF" w:rsidRPr="009A5CFA">
              <w:rPr>
                <w:rStyle w:val="Hipervnculo"/>
                <w:noProof/>
              </w:rPr>
              <w:t>Condiciones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_Toc168305804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3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2F40FAFD" w14:textId="288C12D1" w:rsidR="004E35EF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5" w:history="1">
            <w:r w:rsidR="004E35EF" w:rsidRPr="009A5CFA">
              <w:rPr>
                <w:rStyle w:val="Hipervnculo"/>
                <w:noProof/>
              </w:rPr>
              <w:t>Ejecución de los servicios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_Toc168305805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3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6AE99AD8" w14:textId="15AE36B8" w:rsidR="004E35EF" w:rsidRDefault="00000000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6" w:history="1">
            <w:r w:rsidR="004E35EF" w:rsidRPr="009A5CFA">
              <w:rPr>
                <w:rStyle w:val="Hipervnculo"/>
                <w:noProof/>
              </w:rPr>
              <w:t>Recepción de los servicios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_Toc168305806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3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1EE62FA1" w14:textId="4CC4610E" w:rsidR="004E35EF" w:rsidRDefault="00000000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7" w:history="1">
            <w:r w:rsidR="004E35EF" w:rsidRPr="009A5CFA">
              <w:rPr>
                <w:rStyle w:val="Hipervnculo"/>
                <w:noProof/>
                <w:lang w:eastAsia="ar-SA"/>
              </w:rPr>
              <w:t>Términos de la Contratación.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_Toc168305807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3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7FBE0156" w14:textId="20DE26E7" w:rsidR="004E35E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8" w:history="1">
            <w:r w:rsidR="004E35EF" w:rsidRPr="009A5CFA">
              <w:rPr>
                <w:rStyle w:val="Hipervnculo"/>
                <w:noProof/>
              </w:rPr>
              <w:t>Vigencia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_Toc168305808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3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374635E1" w14:textId="598DDED5" w:rsidR="004E35E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09" w:history="1">
            <w:r w:rsidR="004E35EF" w:rsidRPr="009A5CFA">
              <w:rPr>
                <w:rStyle w:val="Hipervnculo"/>
                <w:noProof/>
              </w:rPr>
              <w:t>Garantía de Cumplimiento de Contrato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_Toc168305809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3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1B8DD979" w14:textId="271F5C00" w:rsidR="004E35E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10" w:history="1">
            <w:r w:rsidR="004E35EF" w:rsidRPr="009A5CFA">
              <w:rPr>
                <w:rStyle w:val="Hipervnculo"/>
                <w:noProof/>
              </w:rPr>
              <w:t>Obligaciones del Proveedor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_Toc168305810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4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2BDCBD8B" w14:textId="44C0697B" w:rsidR="004E35E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11" w:history="1">
            <w:r w:rsidR="004E35EF" w:rsidRPr="009A5CFA">
              <w:rPr>
                <w:rStyle w:val="Hipervnculo"/>
                <w:noProof/>
              </w:rPr>
              <w:t>Garantía de Cumplimiento de Contrato.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_Toc168305811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4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4E603504" w14:textId="09A9A688" w:rsidR="004E35EF" w:rsidRDefault="00000000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168305812" w:history="1">
            <w:r w:rsidR="004E35EF" w:rsidRPr="009A5CFA">
              <w:rPr>
                <w:rStyle w:val="Hipervnculo"/>
                <w:noProof/>
              </w:rPr>
              <w:t>Pago.</w:t>
            </w:r>
            <w:r w:rsidR="004E35EF">
              <w:rPr>
                <w:noProof/>
                <w:webHidden/>
              </w:rPr>
              <w:tab/>
            </w:r>
            <w:r w:rsidR="004E35EF">
              <w:rPr>
                <w:noProof/>
                <w:webHidden/>
              </w:rPr>
              <w:fldChar w:fldCharType="begin"/>
            </w:r>
            <w:r w:rsidR="004E35EF">
              <w:rPr>
                <w:noProof/>
                <w:webHidden/>
              </w:rPr>
              <w:instrText xml:space="preserve"> PAGEREF _Toc168305812 \h </w:instrText>
            </w:r>
            <w:r w:rsidR="004E35EF">
              <w:rPr>
                <w:noProof/>
                <w:webHidden/>
              </w:rPr>
            </w:r>
            <w:r w:rsidR="004E35EF">
              <w:rPr>
                <w:noProof/>
                <w:webHidden/>
              </w:rPr>
              <w:fldChar w:fldCharType="separate"/>
            </w:r>
            <w:r w:rsidR="004E35EF">
              <w:rPr>
                <w:noProof/>
                <w:webHidden/>
              </w:rPr>
              <w:t>4</w:t>
            </w:r>
            <w:r w:rsidR="004E35EF">
              <w:rPr>
                <w:noProof/>
                <w:webHidden/>
              </w:rPr>
              <w:fldChar w:fldCharType="end"/>
            </w:r>
          </w:hyperlink>
        </w:p>
        <w:p w14:paraId="20A4DF6F" w14:textId="5BDECB25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39A2BDB3" w14:textId="77777777" w:rsidR="00D34426" w:rsidRDefault="00D34426" w:rsidP="00BE3A67"/>
    <w:p w14:paraId="0AE95B5B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68305798"/>
      <w:r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68305799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Pr="00B373FD" w:rsidRDefault="00B373FD" w:rsidP="00B373FD"/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6020"/>
        <w:gridCol w:w="1300"/>
        <w:gridCol w:w="1200"/>
      </w:tblGrid>
      <w:tr w:rsidR="000C156D" w:rsidRPr="000C156D" w14:paraId="4C6E68B0" w14:textId="77777777" w:rsidTr="000C156D">
        <w:trPr>
          <w:trHeight w:val="22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426912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2C5B6A0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FBDEDB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A16361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0C156D" w:rsidRPr="000C156D" w14:paraId="1D290047" w14:textId="77777777" w:rsidTr="000C156D">
        <w:trPr>
          <w:trHeight w:val="172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309B8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341" w14:textId="77777777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reparación y tapizado de chaiselongue, con vini-piel, color a elegir por el Instituto, el servicio incluye: sustitución de vinil hospitalario de uso rudo, cambio de madera rota, tornillo, remaches, hule espuma, cojín, material, mano de obra, herramienta, traslados, fletes, acarreos y todo lo necesario para el desarrollo.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B588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DF1FB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  <w:tr w:rsidR="000C156D" w:rsidRPr="000C156D" w14:paraId="1964053D" w14:textId="77777777" w:rsidTr="000C156D">
        <w:trPr>
          <w:trHeight w:val="14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C7251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750E" w14:textId="77777777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reparación y tapizado de Reposet con vini-piel color a elegir por el Instituto, el servicio incluye: cambio madera  rota,  tornillos, remaches, hule espuma, cojín,  materiales, mano de obra, herramienta, traslados, fletes, acarreos y todo lo necesario para el desarrollo del trabajo.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5594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4F126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3</w:t>
            </w:r>
          </w:p>
        </w:tc>
      </w:tr>
      <w:tr w:rsidR="000C156D" w:rsidRPr="000C156D" w14:paraId="46D040FE" w14:textId="77777777" w:rsidTr="000C156D">
        <w:trPr>
          <w:trHeight w:val="14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9C51C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95BE" w14:textId="77777777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reparación y tapizado de sillón de dos plazas con vini-piel color a elegir por Instituto, el servicio incluye: cambio madera rota, tornillos, remaches, hule espuma, cojín, materiales, mano de obra, herramienta, traslados, fletes, acarreos y todo lo necesario para el desarrollo del trabajo.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7A4F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CEBD6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22</w:t>
            </w:r>
          </w:p>
        </w:tc>
      </w:tr>
      <w:tr w:rsidR="000C156D" w:rsidRPr="000C156D" w14:paraId="361AF8EC" w14:textId="77777777" w:rsidTr="000C156D">
        <w:trPr>
          <w:trHeight w:val="14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A185B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6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2ADC" w14:textId="62E6FA04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fabricación de banca en madera medio circulo de para el área de laboratorio el servicio incluye: fabricación de banca de madera de 4.10 x 0.60 x 1.10 metros forrada en tacto piel color verde institucional incluye materiales, herramientas, mano de obra y todo lo necesario para el desarrollo del trabajo.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FE8E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7761D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</w:tr>
    </w:tbl>
    <w:p w14:paraId="1963B773" w14:textId="77777777" w:rsidR="00432E17" w:rsidRDefault="00432E17" w:rsidP="00432E17"/>
    <w:p w14:paraId="0017ABC9" w14:textId="77777777" w:rsidR="00432E17" w:rsidRDefault="00432E17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68305800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6E761F96" w14:textId="229A18AE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0C156D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Jefe de la Oficina de Conservación</w:t>
      </w:r>
      <w:r>
        <w:rPr>
          <w:rFonts w:cs="Arial"/>
          <w:color w:val="C00000"/>
          <w:szCs w:val="16"/>
        </w:rPr>
        <w:t>.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4B4D6B1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jefe de la oficina de conservación y administrador del contrato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lastRenderedPageBreak/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227BAC5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D847818" w:rsidR="00320F28" w:rsidRDefault="005D233F" w:rsidP="00320F28">
      <w:pPr>
        <w:pStyle w:val="Ttulo1"/>
        <w:rPr>
          <w:lang w:eastAsia="ar-SA"/>
        </w:rPr>
      </w:pPr>
      <w:bookmarkStart w:id="3" w:name="_Toc168305801"/>
      <w:r>
        <w:rPr>
          <w:lang w:eastAsia="ar-SA"/>
        </w:rPr>
        <w:t xml:space="preserve">Lugar, Plazos </w:t>
      </w:r>
      <w:r w:rsidR="004E35EF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68305802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68305803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4E77114B" w14:textId="77777777" w:rsidR="004E35EF" w:rsidRDefault="004E35EF" w:rsidP="003A0041"/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5720"/>
        <w:gridCol w:w="1240"/>
        <w:gridCol w:w="1180"/>
        <w:gridCol w:w="1240"/>
      </w:tblGrid>
      <w:tr w:rsidR="000C156D" w:rsidRPr="000C156D" w14:paraId="15253E0C" w14:textId="77777777" w:rsidTr="000C156D">
        <w:trPr>
          <w:trHeight w:val="3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8F1ED9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No.</w:t>
            </w:r>
          </w:p>
        </w:tc>
        <w:tc>
          <w:tcPr>
            <w:tcW w:w="5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F9F5DFF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E5E084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E322D6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Cantidad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BC4163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Periodo</w:t>
            </w:r>
          </w:p>
        </w:tc>
      </w:tr>
      <w:tr w:rsidR="000C156D" w:rsidRPr="000C156D" w14:paraId="513373D3" w14:textId="77777777" w:rsidTr="000C156D">
        <w:trPr>
          <w:trHeight w:val="1944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CA05FC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7427" w14:textId="77777777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reparación y tapizado de chaiselongue, con vini-piel, color a elegir por el Instituto, el servicio incluye: sustitución de vinil hospitalario de uso rudo, cambio de madera rota, tornillo, remaches, hule espuma, cojín, material, mano de obra, herramienta, traslados, fletes, acarreos y todo lo necesario para el desarrollo.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3AE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A92943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0BB05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0C156D" w:rsidRPr="000C156D" w14:paraId="2FA335B7" w14:textId="77777777" w:rsidTr="000C156D">
        <w:trPr>
          <w:trHeight w:val="145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EF4AA8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E32E" w14:textId="77777777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reparación y tapizado de Reposet con vini-piel color a elegir por el Instituto, el servicio incluye: cambio madera  rota,  tornillos, remaches, hule espuma, cojín,  materiales, mano de obra, herramienta, traslados, fletes, acarreos y todo lo necesario para el desarrollo del trabajo.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0E84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B89747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0308B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0C156D" w:rsidRPr="000C156D" w14:paraId="275F0ED6" w14:textId="77777777" w:rsidTr="000C156D">
        <w:trPr>
          <w:trHeight w:val="1452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507291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3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EA48" w14:textId="77777777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reparación y tapizado de sillón de dos plazas con vini-piel color a elegir por Instituto, el servicio incluye: cambio madera rota, tornillos, remaches, hule espuma, cojín, materiales, mano de obra, herramienta, traslados, fletes, acarreos y todo lo necesario para el desarrollo del trabajo.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28B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servicio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7B2809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BD6E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  <w:tr w:rsidR="000C156D" w:rsidRPr="000C156D" w14:paraId="1B605E3B" w14:textId="77777777" w:rsidTr="000C156D">
        <w:trPr>
          <w:trHeight w:val="174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8F48C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C156D">
              <w:rPr>
                <w:rFonts w:eastAsia="Times New Roman" w:cs="Calibri"/>
                <w:outline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4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594E" w14:textId="28AEC1BA" w:rsidR="000C156D" w:rsidRPr="000C156D" w:rsidRDefault="000C156D" w:rsidP="000C156D">
            <w:pPr>
              <w:rPr>
                <w:lang w:val="es-MX" w:eastAsia="es-MX"/>
              </w:rPr>
            </w:pPr>
            <w:r w:rsidRPr="000C156D">
              <w:rPr>
                <w:lang w:val="es-MX" w:eastAsia="es-MX"/>
              </w:rPr>
              <w:t>Servicio de fabricación de banca en madera medio circulo de para el área de laboratorio el servicio incluye: fabricación de banca de madera de 4.10 x 0.60 x 1.10 metros forrada en tacto piel color verde institucional incluye materiales, herramientas, mano de obra y todo lo necesario para el desarrollo del trabajo.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D2E4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</w:pPr>
            <w:r w:rsidRPr="000C156D">
              <w:rPr>
                <w:rFonts w:eastAsia="Times New Roman" w:cs="Calibri"/>
                <w:color w:val="000000"/>
                <w:sz w:val="14"/>
                <w:szCs w:val="14"/>
                <w:lang w:val="es-MX" w:eastAsia="es-MX"/>
              </w:rPr>
              <w:t>pieza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7283C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2A23" w14:textId="77777777" w:rsidR="000C156D" w:rsidRPr="000C156D" w:rsidRDefault="000C156D" w:rsidP="000C156D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 w:rsidRPr="000C156D">
              <w:rPr>
                <w:rFonts w:eastAsia="Times New Roman" w:cs="Calibri"/>
                <w:szCs w:val="16"/>
                <w:lang w:val="es-MX" w:eastAsia="es-MX"/>
              </w:rPr>
              <w:t>30/09/2024 al 09/10/2024</w:t>
            </w:r>
          </w:p>
        </w:tc>
      </w:tr>
    </w:tbl>
    <w:p w14:paraId="3B37CFA7" w14:textId="77777777" w:rsidR="004E35EF" w:rsidRDefault="004E35EF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68305804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68305805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lastRenderedPageBreak/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Jefe de Departamento de Conservación y Servicios Generales y/o Jefe de la Oficina de Conservación,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>y este será supervisado por el Administrador del Contrato o por su Auxiliar verificando que este se ejecute de acuerdo a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68305806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68305807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0F5742C1" w14:textId="5E8318B3" w:rsidR="003752CE" w:rsidRPr="00020701" w:rsidRDefault="00317350" w:rsidP="003752CE">
      <w:pPr>
        <w:rPr>
          <w:b/>
          <w:bCs/>
        </w:rPr>
      </w:pPr>
      <w:bookmarkStart w:id="10" w:name="_Toc168305808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0C156D">
        <w:rPr>
          <w:color w:val="C00000"/>
        </w:rPr>
        <w:t>09</w:t>
      </w:r>
      <w:r w:rsidRPr="00317350">
        <w:rPr>
          <w:color w:val="C00000"/>
        </w:rPr>
        <w:t xml:space="preserve"> de </w:t>
      </w:r>
      <w:r w:rsidR="000C156D">
        <w:rPr>
          <w:color w:val="C00000"/>
        </w:rPr>
        <w:t>Octubre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71C496B1" w14:textId="5C192008" w:rsidR="00B117C7" w:rsidRPr="00B117C7" w:rsidRDefault="004F5EAD" w:rsidP="00B117C7">
      <w:bookmarkStart w:id="11" w:name="_Toc168305809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68305810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a </w:t>
      </w:r>
      <w:r w:rsidR="00323CA5">
        <w:t>:</w:t>
      </w:r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0AB1F705" w:rsidR="003752CE" w:rsidRDefault="002609D2" w:rsidP="002609D2">
      <w:bookmarkStart w:id="13" w:name="_Toc168305811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4E35EF" w:rsidRPr="00C65F4C">
        <w:t>exceptuar</w:t>
      </w:r>
      <w:r w:rsidR="004E35EF">
        <w:t>á</w:t>
      </w:r>
      <w:r w:rsidR="00C65F4C" w:rsidRPr="00C65F4C">
        <w:t xml:space="preserve"> a “EL PROVEEDOR” de la presentación de la 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2576A3">
        <w:t xml:space="preserve">realizara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00FD3B18" w:rsidR="00314BBB" w:rsidRPr="00314BBB" w:rsidRDefault="00020701" w:rsidP="00314BBB">
      <w:r w:rsidRPr="00020701">
        <w:rPr>
          <w:b/>
          <w:bCs/>
        </w:rPr>
        <w:lastRenderedPageBreak/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68305812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>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8517" w14:textId="77777777" w:rsidR="00086E14" w:rsidRDefault="00086E14" w:rsidP="00984A99">
      <w:r>
        <w:separator/>
      </w:r>
    </w:p>
  </w:endnote>
  <w:endnote w:type="continuationSeparator" w:id="0">
    <w:p w14:paraId="5B479656" w14:textId="77777777" w:rsidR="00086E14" w:rsidRDefault="00086E14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5A9C2" w14:textId="77777777" w:rsidR="00086E14" w:rsidRDefault="00086E14" w:rsidP="00984A99">
      <w:r>
        <w:separator/>
      </w:r>
    </w:p>
  </w:footnote>
  <w:footnote w:type="continuationSeparator" w:id="0">
    <w:p w14:paraId="44976F8C" w14:textId="77777777" w:rsidR="00086E14" w:rsidRDefault="00086E14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60FEC"/>
    <w:rsid w:val="00061F4F"/>
    <w:rsid w:val="00072540"/>
    <w:rsid w:val="00083E68"/>
    <w:rsid w:val="00085F29"/>
    <w:rsid w:val="00086E14"/>
    <w:rsid w:val="00092D3E"/>
    <w:rsid w:val="0009378C"/>
    <w:rsid w:val="000A377D"/>
    <w:rsid w:val="000A3C56"/>
    <w:rsid w:val="000B3765"/>
    <w:rsid w:val="000C156D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F090E"/>
    <w:rsid w:val="003F0B21"/>
    <w:rsid w:val="003F50AB"/>
    <w:rsid w:val="00413094"/>
    <w:rsid w:val="004155B7"/>
    <w:rsid w:val="00420FF2"/>
    <w:rsid w:val="00421AC3"/>
    <w:rsid w:val="00432E17"/>
    <w:rsid w:val="00436F93"/>
    <w:rsid w:val="00447ADC"/>
    <w:rsid w:val="00455708"/>
    <w:rsid w:val="00456F2C"/>
    <w:rsid w:val="00457F10"/>
    <w:rsid w:val="00467062"/>
    <w:rsid w:val="00492F1E"/>
    <w:rsid w:val="004A06BC"/>
    <w:rsid w:val="004B38FE"/>
    <w:rsid w:val="004C1131"/>
    <w:rsid w:val="004D4FC4"/>
    <w:rsid w:val="004D6635"/>
    <w:rsid w:val="004E1251"/>
    <w:rsid w:val="004E35EF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B681D"/>
    <w:rsid w:val="005C79F6"/>
    <w:rsid w:val="005D233F"/>
    <w:rsid w:val="005D3211"/>
    <w:rsid w:val="005E2755"/>
    <w:rsid w:val="005F0159"/>
    <w:rsid w:val="005F7946"/>
    <w:rsid w:val="00606BA6"/>
    <w:rsid w:val="00617964"/>
    <w:rsid w:val="00623C5E"/>
    <w:rsid w:val="00624BB4"/>
    <w:rsid w:val="0065000A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AE1"/>
    <w:rsid w:val="00813CFE"/>
    <w:rsid w:val="0082089C"/>
    <w:rsid w:val="00870F70"/>
    <w:rsid w:val="008800A6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7465A"/>
    <w:rsid w:val="00976C62"/>
    <w:rsid w:val="00976F6C"/>
    <w:rsid w:val="00984A99"/>
    <w:rsid w:val="009A1514"/>
    <w:rsid w:val="009A2B42"/>
    <w:rsid w:val="009C5B21"/>
    <w:rsid w:val="009D0F24"/>
    <w:rsid w:val="009E32BF"/>
    <w:rsid w:val="009E3BBF"/>
    <w:rsid w:val="009E3C1E"/>
    <w:rsid w:val="009F0134"/>
    <w:rsid w:val="009F095F"/>
    <w:rsid w:val="009F1919"/>
    <w:rsid w:val="009F7EDC"/>
    <w:rsid w:val="00A002DA"/>
    <w:rsid w:val="00A015E6"/>
    <w:rsid w:val="00A16EA9"/>
    <w:rsid w:val="00A17171"/>
    <w:rsid w:val="00A24B0C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43BB"/>
    <w:rsid w:val="00AD1C4C"/>
    <w:rsid w:val="00AE774F"/>
    <w:rsid w:val="00AF3D90"/>
    <w:rsid w:val="00AF5228"/>
    <w:rsid w:val="00AF5286"/>
    <w:rsid w:val="00B000DD"/>
    <w:rsid w:val="00B02A37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7230"/>
    <w:rsid w:val="00BF1BF1"/>
    <w:rsid w:val="00C0639C"/>
    <w:rsid w:val="00C128D9"/>
    <w:rsid w:val="00C26875"/>
    <w:rsid w:val="00C47D1E"/>
    <w:rsid w:val="00C65F4C"/>
    <w:rsid w:val="00C74126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1754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Hector Hidalgo</cp:lastModifiedBy>
  <cp:revision>9</cp:revision>
  <cp:lastPrinted>2024-04-05T17:04:00Z</cp:lastPrinted>
  <dcterms:created xsi:type="dcterms:W3CDTF">2024-05-24T21:25:00Z</dcterms:created>
  <dcterms:modified xsi:type="dcterms:W3CDTF">2024-09-25T18:27:00Z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