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F0" w:rsidRDefault="007B3BF0" w:rsidP="007B3BF0">
      <w:pPr>
        <w:tabs>
          <w:tab w:val="left" w:pos="3261"/>
        </w:tabs>
        <w:spacing w:after="120"/>
        <w:ind w:left="142" w:hanging="2"/>
        <w:jc w:val="center"/>
        <w:rPr>
          <w:rFonts w:ascii="Arial Narrow" w:hAnsi="Arial Narrow" w:cs="Noto Sans"/>
          <w:b/>
          <w:sz w:val="28"/>
          <w:szCs w:val="20"/>
        </w:rPr>
      </w:pPr>
      <w:r>
        <w:rPr>
          <w:rFonts w:ascii="Arial Narrow" w:hAnsi="Arial Narrow" w:cs="Noto Sans"/>
          <w:b/>
          <w:sz w:val="28"/>
          <w:szCs w:val="20"/>
        </w:rPr>
        <w:t xml:space="preserve">ANEXO TECNICO </w:t>
      </w:r>
    </w:p>
    <w:p w:rsidR="007B3BF0" w:rsidRDefault="007B3BF0" w:rsidP="007B3BF0">
      <w:pPr>
        <w:tabs>
          <w:tab w:val="left" w:pos="3261"/>
        </w:tabs>
        <w:spacing w:after="120"/>
        <w:ind w:left="142" w:hanging="2"/>
        <w:jc w:val="center"/>
        <w:rPr>
          <w:rFonts w:ascii="Arial Narrow" w:hAnsi="Arial Narrow" w:cs="Noto Sans"/>
          <w:b/>
          <w:sz w:val="28"/>
          <w:szCs w:val="20"/>
        </w:rPr>
      </w:pPr>
    </w:p>
    <w:p w:rsidR="007B3BF0" w:rsidRDefault="007B3BF0" w:rsidP="007B3BF0">
      <w:pPr>
        <w:tabs>
          <w:tab w:val="left" w:pos="3261"/>
        </w:tabs>
        <w:spacing w:after="120"/>
        <w:ind w:left="142" w:hanging="2"/>
        <w:jc w:val="center"/>
        <w:rPr>
          <w:rFonts w:ascii="Arial Narrow" w:hAnsi="Arial Narrow" w:cs="Noto Sans"/>
          <w:b/>
          <w:sz w:val="32"/>
          <w:szCs w:val="20"/>
        </w:rPr>
      </w:pPr>
      <w:r>
        <w:rPr>
          <w:rFonts w:ascii="Arial Narrow" w:hAnsi="Arial Narrow" w:cs="Noto Sans"/>
          <w:b/>
          <w:sz w:val="28"/>
          <w:szCs w:val="20"/>
        </w:rPr>
        <w:t>ADQUISICIÓN DE LAS CLAVES</w:t>
      </w:r>
      <w:r w:rsidRPr="00077A5D">
        <w:rPr>
          <w:rFonts w:ascii="Arial Narrow" w:hAnsi="Arial Narrow" w:cs="Noto Sans"/>
          <w:b/>
          <w:sz w:val="28"/>
          <w:szCs w:val="20"/>
        </w:rPr>
        <w:t xml:space="preserve"> DE LOS GRUPOS: 379 “EQUIPOS, INSTRUMENTAL Y ACCESORIOS MÉDIC</w:t>
      </w:r>
      <w:bookmarkStart w:id="0" w:name="_GoBack"/>
      <w:bookmarkEnd w:id="0"/>
      <w:r w:rsidRPr="00077A5D">
        <w:rPr>
          <w:rFonts w:ascii="Arial Narrow" w:hAnsi="Arial Narrow" w:cs="Noto Sans"/>
          <w:b/>
          <w:sz w:val="28"/>
          <w:szCs w:val="20"/>
        </w:rPr>
        <w:t xml:space="preserve">OS” </w:t>
      </w:r>
    </w:p>
    <w:p w:rsidR="007B3BF0" w:rsidRPr="00226981" w:rsidRDefault="007B3BF0" w:rsidP="007B3BF0">
      <w:pPr>
        <w:tabs>
          <w:tab w:val="left" w:pos="3261"/>
        </w:tabs>
        <w:jc w:val="center"/>
        <w:rPr>
          <w:rFonts w:ascii="Arial Narrow" w:hAnsi="Arial Narrow" w:cs="Noto Sans"/>
          <w:b/>
          <w:sz w:val="28"/>
          <w:szCs w:val="20"/>
        </w:rPr>
      </w:pPr>
      <w:r w:rsidRPr="00226981">
        <w:rPr>
          <w:rFonts w:ascii="Arial Narrow" w:hAnsi="Arial Narrow" w:cs="Noto Sans"/>
          <w:b/>
          <w:sz w:val="28"/>
          <w:szCs w:val="20"/>
        </w:rPr>
        <w:t>FOCON</w:t>
      </w:r>
      <w:r>
        <w:rPr>
          <w:rFonts w:ascii="Arial Narrow" w:hAnsi="Arial Narrow" w:cs="Noto Sans"/>
          <w:b/>
          <w:sz w:val="28"/>
          <w:szCs w:val="20"/>
        </w:rPr>
        <w:t xml:space="preserve"> 04 INVMER 202-</w:t>
      </w:r>
      <w:r w:rsidRPr="00226981">
        <w:rPr>
          <w:rFonts w:ascii="Arial Narrow" w:hAnsi="Arial Narrow" w:cs="Noto Sans"/>
          <w:b/>
          <w:sz w:val="28"/>
          <w:szCs w:val="20"/>
        </w:rPr>
        <w:t>2025</w:t>
      </w:r>
    </w:p>
    <w:p w:rsidR="007B3BF0" w:rsidRPr="002F6D19" w:rsidRDefault="007B3BF0" w:rsidP="007B3BF0">
      <w:pPr>
        <w:tabs>
          <w:tab w:val="left" w:pos="3261"/>
        </w:tabs>
        <w:jc w:val="center"/>
        <w:rPr>
          <w:rFonts w:ascii="Arial Narrow" w:hAnsi="Arial Narrow" w:cs="Noto Sans"/>
          <w:b/>
          <w:sz w:val="40"/>
          <w:szCs w:val="20"/>
        </w:rPr>
      </w:pPr>
    </w:p>
    <w:p w:rsidR="007B3BF0" w:rsidRPr="00226981" w:rsidRDefault="007B3BF0" w:rsidP="007B3BF0">
      <w:pPr>
        <w:pStyle w:val="Prrafodelista"/>
        <w:numPr>
          <w:ilvl w:val="0"/>
          <w:numId w:val="1"/>
        </w:numPr>
        <w:spacing w:after="0" w:line="240" w:lineRule="auto"/>
        <w:ind w:left="709" w:hanging="283"/>
        <w:jc w:val="both"/>
        <w:rPr>
          <w:rFonts w:ascii="Arial Narrow" w:hAnsi="Arial Narrow" w:cs="Noto Sans"/>
          <w:bCs/>
        </w:rPr>
      </w:pPr>
      <w:r w:rsidRPr="00226981">
        <w:rPr>
          <w:rFonts w:ascii="Arial Narrow" w:hAnsi="Arial Narrow" w:cs="Noto Sans"/>
          <w:bCs/>
        </w:rPr>
        <w:t>Los insumos objeto de la contratación se consideran Bienes de Consumo No Terapéuticos, el criterio que se utilizará como método para evaluar las propuestas será el Binario, mediante el cual sólo se adjudicará al participante que ofrezca las mejores condiciones en cuanto a precio, calidad, financiamiento, oportunidad y demás circunstancias pertinentes, de acuerdo con lo establecido en el artículo 47 de la Ley de Adquisiciones, Arrendamientos y Servicios del Sector Público y 51 de su Reglamento.</w:t>
      </w:r>
    </w:p>
    <w:p w:rsidR="007B3BF0" w:rsidRPr="00226981" w:rsidRDefault="007B3BF0" w:rsidP="007B3BF0">
      <w:pPr>
        <w:pStyle w:val="Prrafodelista"/>
        <w:numPr>
          <w:ilvl w:val="0"/>
          <w:numId w:val="1"/>
        </w:numPr>
        <w:spacing w:after="0" w:line="240" w:lineRule="auto"/>
        <w:ind w:left="709" w:hanging="283"/>
        <w:jc w:val="both"/>
        <w:rPr>
          <w:rFonts w:ascii="Arial Narrow" w:hAnsi="Arial Narrow" w:cs="Noto Sans"/>
          <w:bCs/>
        </w:rPr>
      </w:pPr>
      <w:r w:rsidRPr="00226981">
        <w:rPr>
          <w:rFonts w:ascii="Arial Narrow" w:hAnsi="Arial Narrow" w:cs="Noto Sans"/>
          <w:bCs/>
        </w:rPr>
        <w:t>Para ser sujeto de evaluación bajo el criterio, se considerarán únicamente a el (los) licitante (s) que previamente haya (n) cumplido cuantitativa y cualitativamente con todos y cada uno de los requisitos establecidos en el Anexo Técnico, así como en los Términos y Condiciones.</w:t>
      </w:r>
    </w:p>
    <w:p w:rsidR="007B3BF0" w:rsidRPr="00226981" w:rsidRDefault="007B3BF0" w:rsidP="007B3BF0">
      <w:pPr>
        <w:pStyle w:val="Prrafodelista"/>
        <w:numPr>
          <w:ilvl w:val="0"/>
          <w:numId w:val="1"/>
        </w:numPr>
        <w:spacing w:after="0" w:line="240" w:lineRule="auto"/>
        <w:ind w:left="709" w:hanging="283"/>
        <w:jc w:val="both"/>
        <w:rPr>
          <w:rFonts w:ascii="Arial Narrow" w:hAnsi="Arial Narrow" w:cs="Noto Sans"/>
          <w:bCs/>
        </w:rPr>
      </w:pPr>
      <w:r w:rsidRPr="00226981">
        <w:rPr>
          <w:rFonts w:ascii="Arial Narrow" w:hAnsi="Arial Narrow" w:cs="Noto Sans"/>
          <w:bCs/>
        </w:rPr>
        <w:t xml:space="preserve">Para realizar la Evaluación por medio del criterio de evaluación Binario se anexa la solicitud y elementos técnicos. </w:t>
      </w:r>
      <w:r>
        <w:rPr>
          <w:rFonts w:ascii="Arial Narrow" w:hAnsi="Arial Narrow" w:cs="Noto Sans"/>
          <w:b/>
          <w:bCs/>
        </w:rPr>
        <w:t>ANEXO “ELEMENTO TÉCNICO DE LA PARTIDA</w:t>
      </w:r>
      <w:r w:rsidRPr="00226981">
        <w:rPr>
          <w:rFonts w:ascii="Arial Narrow" w:hAnsi="Arial Narrow" w:cs="Noto Sans"/>
          <w:b/>
          <w:bCs/>
        </w:rPr>
        <w:t>”</w:t>
      </w:r>
      <w:r w:rsidRPr="00226981">
        <w:rPr>
          <w:rFonts w:ascii="Arial Narrow" w:hAnsi="Arial Narrow" w:cs="Noto Sans"/>
          <w:bCs/>
        </w:rPr>
        <w:t>.</w:t>
      </w:r>
    </w:p>
    <w:p w:rsidR="007B3BF0" w:rsidRPr="00226981" w:rsidRDefault="007B3BF0" w:rsidP="007B3BF0">
      <w:pPr>
        <w:tabs>
          <w:tab w:val="left" w:pos="3261"/>
        </w:tabs>
        <w:spacing w:after="120"/>
        <w:ind w:left="142" w:hanging="2"/>
        <w:jc w:val="center"/>
        <w:rPr>
          <w:rFonts w:ascii="Arial Narrow" w:hAnsi="Arial Narrow" w:cs="Noto Sans"/>
          <w:b/>
          <w:sz w:val="22"/>
          <w:szCs w:val="22"/>
        </w:rPr>
      </w:pPr>
    </w:p>
    <w:p w:rsidR="007B3BF0" w:rsidRPr="00226981" w:rsidRDefault="007B3BF0" w:rsidP="007B3BF0">
      <w:pPr>
        <w:ind w:left="284"/>
        <w:jc w:val="both"/>
        <w:rPr>
          <w:rFonts w:ascii="Arial Narrow" w:hAnsi="Arial Narrow" w:cs="Noto Sans"/>
          <w:b/>
          <w:bCs/>
          <w:sz w:val="22"/>
          <w:szCs w:val="22"/>
          <w:lang w:val="x-none"/>
        </w:rPr>
      </w:pPr>
      <w:r w:rsidRPr="00226981">
        <w:rPr>
          <w:rFonts w:ascii="Arial Narrow" w:hAnsi="Arial Narrow" w:cs="Noto Sans"/>
          <w:b/>
          <w:bCs/>
          <w:sz w:val="22"/>
          <w:szCs w:val="22"/>
          <w:lang w:val="x-none"/>
        </w:rPr>
        <w:t>Norma</w:t>
      </w:r>
      <w:r w:rsidRPr="00226981">
        <w:rPr>
          <w:rFonts w:ascii="Arial Narrow" w:hAnsi="Arial Narrow" w:cs="Noto Sans"/>
          <w:b/>
          <w:bCs/>
          <w:sz w:val="22"/>
          <w:szCs w:val="22"/>
          <w:lang w:val="es-MX"/>
        </w:rPr>
        <w:t xml:space="preserve">s: </w:t>
      </w:r>
      <w:r w:rsidRPr="00226981">
        <w:rPr>
          <w:rFonts w:ascii="Arial Narrow" w:hAnsi="Arial Narrow" w:cs="Noto Sans"/>
          <w:b/>
          <w:bCs/>
          <w:sz w:val="22"/>
          <w:szCs w:val="22"/>
          <w:lang w:val="x-none"/>
        </w:rPr>
        <w:t xml:space="preserve">Oficial Mexicana, </w:t>
      </w:r>
      <w:r w:rsidRPr="00226981">
        <w:rPr>
          <w:rFonts w:ascii="Arial Narrow" w:hAnsi="Arial Narrow" w:cs="Noto Sans"/>
          <w:b/>
          <w:bCs/>
          <w:sz w:val="22"/>
          <w:szCs w:val="22"/>
          <w:lang w:val="es-MX"/>
        </w:rPr>
        <w:t>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7B3BF0" w:rsidRPr="00226981" w:rsidRDefault="007B3BF0" w:rsidP="007B3BF0">
      <w:pPr>
        <w:pStyle w:val="Prrafodelista"/>
        <w:spacing w:after="0" w:line="240" w:lineRule="auto"/>
        <w:ind w:left="360"/>
        <w:jc w:val="both"/>
        <w:rPr>
          <w:rFonts w:ascii="Arial Narrow" w:hAnsi="Arial Narrow" w:cs="Noto Sans"/>
          <w:bCs/>
        </w:rPr>
      </w:pPr>
    </w:p>
    <w:p w:rsidR="007B3BF0" w:rsidRPr="00840B2F" w:rsidRDefault="007B3BF0" w:rsidP="007B3BF0">
      <w:pPr>
        <w:ind w:left="284" w:right="130"/>
        <w:jc w:val="both"/>
        <w:rPr>
          <w:rFonts w:ascii="Arial Narrow" w:hAnsi="Arial Narrow" w:cs="Noto Sans"/>
          <w:bCs/>
          <w:sz w:val="22"/>
          <w:szCs w:val="22"/>
          <w:lang w:val="es-MX"/>
        </w:rPr>
      </w:pPr>
      <w:r w:rsidRPr="00840B2F">
        <w:rPr>
          <w:rFonts w:ascii="Arial Narrow" w:hAnsi="Arial Narrow" w:cs="Noto Sans"/>
          <w:bCs/>
          <w:sz w:val="22"/>
          <w:szCs w:val="22"/>
          <w:lang w:val="es-MX"/>
        </w:rPr>
        <w:t>Los participantes deberán acompañar a su propuesta técnica los documentos siguientes:</w:t>
      </w:r>
    </w:p>
    <w:p w:rsidR="007B3BF0" w:rsidRPr="00840B2F" w:rsidRDefault="007B3BF0" w:rsidP="007B3BF0">
      <w:pPr>
        <w:ind w:left="284" w:right="130"/>
        <w:jc w:val="both"/>
        <w:rPr>
          <w:rFonts w:ascii="Arial Narrow" w:hAnsi="Arial Narrow" w:cs="Noto Sans"/>
          <w:bCs/>
          <w:sz w:val="22"/>
          <w:szCs w:val="22"/>
          <w:lang w:val="es-MX"/>
        </w:rPr>
      </w:pPr>
    </w:p>
    <w:p w:rsidR="007B3BF0" w:rsidRPr="00840B2F" w:rsidRDefault="007B3BF0" w:rsidP="007B3BF0">
      <w:pPr>
        <w:ind w:left="284" w:right="130"/>
        <w:jc w:val="both"/>
        <w:rPr>
          <w:rFonts w:ascii="Arial Narrow" w:hAnsi="Arial Narrow" w:cs="Noto Sans"/>
          <w:b/>
          <w:bCs/>
          <w:sz w:val="22"/>
          <w:szCs w:val="22"/>
          <w:lang w:val="es-MX"/>
        </w:rPr>
      </w:pPr>
      <w:r w:rsidRPr="00840B2F">
        <w:rPr>
          <w:rFonts w:ascii="Arial Narrow" w:hAnsi="Arial Narrow" w:cs="Noto Sans"/>
          <w:b/>
          <w:bCs/>
          <w:sz w:val="22"/>
          <w:szCs w:val="22"/>
          <w:lang w:val="es-MX"/>
        </w:rPr>
        <w:t>Para bienes Nacionales</w:t>
      </w:r>
    </w:p>
    <w:p w:rsidR="007B3BF0" w:rsidRPr="00840B2F" w:rsidRDefault="007B3BF0" w:rsidP="007B3BF0">
      <w:pPr>
        <w:ind w:left="284" w:right="130"/>
        <w:jc w:val="both"/>
        <w:rPr>
          <w:rFonts w:ascii="Arial Narrow" w:hAnsi="Arial Narrow" w:cs="Noto Sans"/>
          <w:b/>
          <w:bCs/>
          <w:sz w:val="22"/>
          <w:szCs w:val="22"/>
          <w:lang w:val="es-MX"/>
        </w:rPr>
      </w:pPr>
    </w:p>
    <w:p w:rsidR="007B3BF0" w:rsidRPr="00840B2F" w:rsidRDefault="007B3BF0" w:rsidP="007B3BF0">
      <w:pPr>
        <w:numPr>
          <w:ilvl w:val="0"/>
          <w:numId w:val="2"/>
        </w:numPr>
        <w:ind w:right="130"/>
        <w:jc w:val="both"/>
        <w:rPr>
          <w:rFonts w:ascii="Arial Narrow" w:hAnsi="Arial Narrow" w:cs="Noto Sans"/>
          <w:bCs/>
          <w:sz w:val="22"/>
          <w:szCs w:val="22"/>
          <w:lang w:val="es-MX"/>
        </w:rPr>
      </w:pPr>
      <w:r w:rsidRPr="00840B2F">
        <w:rPr>
          <w:rFonts w:ascii="Arial Narrow" w:hAnsi="Arial Narrow" w:cs="Noto Sans"/>
          <w:bCs/>
          <w:sz w:val="22"/>
          <w:szCs w:val="22"/>
          <w:lang w:val="es-MX"/>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rsidR="007B3BF0" w:rsidRPr="00840B2F" w:rsidRDefault="007B3BF0" w:rsidP="007B3BF0">
      <w:pPr>
        <w:numPr>
          <w:ilvl w:val="0"/>
          <w:numId w:val="2"/>
        </w:numPr>
        <w:ind w:right="130"/>
        <w:jc w:val="both"/>
        <w:rPr>
          <w:rFonts w:ascii="Arial Narrow" w:hAnsi="Arial Narrow" w:cs="Noto Sans"/>
          <w:bCs/>
          <w:sz w:val="22"/>
          <w:szCs w:val="22"/>
          <w:lang w:val="es-MX"/>
        </w:rPr>
      </w:pPr>
      <w:r w:rsidRPr="00840B2F">
        <w:rPr>
          <w:rFonts w:ascii="Arial Narrow" w:hAnsi="Arial Narrow" w:cs="Noto Sans"/>
          <w:bCs/>
          <w:sz w:val="22"/>
          <w:szCs w:val="22"/>
          <w:lang w:val="es-MX"/>
        </w:rPr>
        <w:t xml:space="preserve">Certificado de Buenas Prácticas de Fabricación, emitido por la Comisión Federal para la Protección contra Riesgos Sanitarios. </w:t>
      </w:r>
    </w:p>
    <w:p w:rsidR="007B3BF0" w:rsidRPr="00840B2F" w:rsidRDefault="007B3BF0" w:rsidP="007B3BF0">
      <w:pPr>
        <w:ind w:left="284" w:right="130"/>
        <w:jc w:val="both"/>
        <w:rPr>
          <w:rFonts w:ascii="Arial Narrow" w:hAnsi="Arial Narrow" w:cs="Noto Sans"/>
          <w:bCs/>
          <w:sz w:val="22"/>
          <w:szCs w:val="22"/>
          <w:lang w:val="es-MX"/>
        </w:rPr>
      </w:pPr>
      <w:r w:rsidRPr="00840B2F">
        <w:rPr>
          <w:rFonts w:ascii="Arial Narrow" w:hAnsi="Arial Narrow" w:cs="Noto Sans"/>
          <w:bCs/>
          <w:sz w:val="22"/>
          <w:szCs w:val="22"/>
          <w:lang w:val="es-MX"/>
        </w:rPr>
        <w:t xml:space="preserve">Durante el procedimiento de </w:t>
      </w:r>
      <w:bookmarkStart w:id="1" w:name="_Hlk211343602"/>
      <w:r w:rsidRPr="00840B2F">
        <w:rPr>
          <w:rFonts w:ascii="Arial Narrow" w:hAnsi="Arial Narrow" w:cs="Noto Sans"/>
          <w:bCs/>
          <w:sz w:val="22"/>
          <w:szCs w:val="22"/>
          <w:lang w:val="es-MX"/>
        </w:rPr>
        <w:t>adjudicación</w:t>
      </w:r>
      <w:bookmarkEnd w:id="1"/>
      <w:r w:rsidRPr="00840B2F">
        <w:rPr>
          <w:rFonts w:ascii="Arial Narrow" w:hAnsi="Arial Narrow" w:cs="Noto Sans"/>
          <w:bCs/>
          <w:sz w:val="22"/>
          <w:szCs w:val="22"/>
          <w:lang w:val="es-MX"/>
        </w:rPr>
        <w:t xml:space="preserve"> o durante la vigencia del (los) contrato (s) que, en su caso se adjudique (n), con motivo de la adjudicación, el Instituto podrá en cualquier momento verificar el cumplimiento de los requisitos de calidad de los bienes al participante que resulte adjudicado, a través de las personas acreditadas por la Entidad Mexicana de Acreditación A.C. (EMA) (Organismo de Certificación o Laboratorio de Pruebas), de acuerdo a lo establecido en la Ley Federal sobre Metrología y Normalización. </w:t>
      </w:r>
    </w:p>
    <w:p w:rsidR="007B3BF0" w:rsidRPr="00840B2F" w:rsidRDefault="007B3BF0" w:rsidP="007B3BF0">
      <w:pPr>
        <w:ind w:left="284" w:right="130"/>
        <w:jc w:val="both"/>
        <w:rPr>
          <w:rFonts w:ascii="Arial Narrow" w:hAnsi="Arial Narrow" w:cs="Noto Sans"/>
          <w:bCs/>
          <w:sz w:val="22"/>
          <w:szCs w:val="22"/>
          <w:lang w:val="es-MX"/>
        </w:rPr>
      </w:pPr>
    </w:p>
    <w:p w:rsidR="007B3BF0" w:rsidRPr="00840B2F" w:rsidRDefault="007B3BF0" w:rsidP="007B3BF0">
      <w:pPr>
        <w:ind w:left="284" w:right="130"/>
        <w:jc w:val="both"/>
        <w:rPr>
          <w:rFonts w:ascii="Arial Narrow" w:hAnsi="Arial Narrow" w:cs="Noto Sans"/>
          <w:bCs/>
          <w:sz w:val="22"/>
          <w:szCs w:val="22"/>
          <w:lang w:val="es-MX"/>
        </w:rPr>
      </w:pPr>
      <w:r w:rsidRPr="00840B2F">
        <w:rPr>
          <w:rFonts w:ascii="Arial Narrow" w:hAnsi="Arial Narrow" w:cs="Noto Sans"/>
          <w:bCs/>
          <w:sz w:val="22"/>
          <w:szCs w:val="22"/>
          <w:lang w:val="es-MX"/>
        </w:rPr>
        <w:t>NOTA: “En caso de que no existan personas acreditadas por la Entidad Mexicana de Acreditación A.C. (EMA), el Instituto a través del área responsable, evaluará las especificaciones de los bienes conjuntamente con la metodología a emplear.”</w:t>
      </w:r>
    </w:p>
    <w:p w:rsidR="007B3BF0" w:rsidRPr="00840B2F" w:rsidRDefault="007B3BF0" w:rsidP="007B3BF0">
      <w:pPr>
        <w:ind w:left="284" w:right="130"/>
        <w:jc w:val="both"/>
        <w:rPr>
          <w:rFonts w:ascii="Arial Narrow" w:hAnsi="Arial Narrow" w:cs="Noto Sans"/>
          <w:bCs/>
          <w:sz w:val="22"/>
          <w:szCs w:val="22"/>
          <w:lang w:val="es-MX"/>
        </w:rPr>
      </w:pPr>
    </w:p>
    <w:p w:rsidR="007B3BF0" w:rsidRPr="003F0628" w:rsidRDefault="007B3BF0" w:rsidP="007B3BF0">
      <w:pPr>
        <w:ind w:left="284" w:right="130"/>
        <w:jc w:val="both"/>
        <w:rPr>
          <w:rFonts w:ascii="Arial Narrow" w:hAnsi="Arial Narrow" w:cs="Noto Sans"/>
          <w:b/>
          <w:bCs/>
          <w:sz w:val="22"/>
          <w:szCs w:val="22"/>
          <w:highlight w:val="yellow"/>
          <w:lang w:val="es-MX"/>
        </w:rPr>
      </w:pPr>
      <w:r w:rsidRPr="00840B2F">
        <w:rPr>
          <w:rFonts w:ascii="Arial Narrow" w:hAnsi="Arial Narrow" w:cs="Noto Sans"/>
          <w:b/>
          <w:bCs/>
          <w:sz w:val="22"/>
          <w:szCs w:val="22"/>
          <w:lang w:val="es-MX"/>
        </w:rPr>
        <w:t>Para bienes Internacionales</w:t>
      </w:r>
      <w:r w:rsidRPr="003F0628">
        <w:rPr>
          <w:rFonts w:ascii="Arial Narrow" w:hAnsi="Arial Narrow" w:cs="Noto Sans"/>
          <w:b/>
          <w:bCs/>
          <w:sz w:val="22"/>
          <w:szCs w:val="22"/>
          <w:highlight w:val="yellow"/>
          <w:lang w:val="es-MX"/>
        </w:rPr>
        <w:t>.</w:t>
      </w:r>
    </w:p>
    <w:p w:rsidR="007B3BF0" w:rsidRPr="00840B2F" w:rsidRDefault="007B3BF0" w:rsidP="007B3BF0">
      <w:pPr>
        <w:numPr>
          <w:ilvl w:val="0"/>
          <w:numId w:val="3"/>
        </w:numPr>
        <w:ind w:right="130"/>
        <w:jc w:val="both"/>
        <w:rPr>
          <w:rFonts w:ascii="Arial Narrow" w:hAnsi="Arial Narrow" w:cs="Noto Sans"/>
          <w:bCs/>
          <w:sz w:val="22"/>
          <w:szCs w:val="22"/>
          <w:lang w:val="es-MX"/>
        </w:rPr>
      </w:pPr>
      <w:r w:rsidRPr="00840B2F">
        <w:rPr>
          <w:rFonts w:ascii="Arial Narrow" w:hAnsi="Arial Narrow" w:cs="Noto Sans"/>
          <w:bCs/>
          <w:sz w:val="22"/>
          <w:szCs w:val="22"/>
          <w:lang w:val="es-MX"/>
        </w:rPr>
        <w:lastRenderedPageBreak/>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rsidR="007B3BF0" w:rsidRPr="00840B2F" w:rsidRDefault="007B3BF0" w:rsidP="007B3BF0">
      <w:pPr>
        <w:numPr>
          <w:ilvl w:val="0"/>
          <w:numId w:val="3"/>
        </w:numPr>
        <w:ind w:right="130"/>
        <w:jc w:val="both"/>
        <w:rPr>
          <w:rFonts w:ascii="Arial Narrow" w:hAnsi="Arial Narrow" w:cs="Noto Sans"/>
          <w:bCs/>
          <w:sz w:val="22"/>
          <w:szCs w:val="22"/>
          <w:lang w:val="es-MX"/>
        </w:rPr>
      </w:pPr>
      <w:r w:rsidRPr="00840B2F">
        <w:rPr>
          <w:rFonts w:ascii="Arial Narrow" w:hAnsi="Arial Narrow" w:cs="Noto Sans"/>
          <w:bCs/>
          <w:sz w:val="22"/>
          <w:szCs w:val="22"/>
          <w:lang w:val="es-MX"/>
        </w:rPr>
        <w:t>Certificado de FDA o CE o  su equivalente emitido por la autoridad sanitaria del país de origen.</w:t>
      </w:r>
    </w:p>
    <w:p w:rsidR="007B3BF0" w:rsidRPr="00840B2F" w:rsidRDefault="007B3BF0" w:rsidP="007B3BF0">
      <w:pPr>
        <w:ind w:left="284" w:right="130"/>
        <w:jc w:val="both"/>
        <w:rPr>
          <w:rFonts w:ascii="Arial Narrow" w:hAnsi="Arial Narrow" w:cs="Noto Sans"/>
          <w:b/>
          <w:bCs/>
          <w:sz w:val="22"/>
          <w:szCs w:val="22"/>
          <w:lang w:val="es-MX"/>
        </w:rPr>
      </w:pPr>
    </w:p>
    <w:p w:rsidR="007B3BF0" w:rsidRPr="00840B2F" w:rsidRDefault="007B3BF0" w:rsidP="007B3BF0">
      <w:pPr>
        <w:ind w:right="130"/>
        <w:jc w:val="both"/>
        <w:rPr>
          <w:rFonts w:ascii="Arial Narrow" w:hAnsi="Arial Narrow" w:cs="Noto Sans"/>
          <w:b/>
          <w:bCs/>
          <w:sz w:val="22"/>
          <w:szCs w:val="22"/>
          <w:lang w:val="es-MX"/>
        </w:rPr>
      </w:pPr>
      <w:r w:rsidRPr="00840B2F">
        <w:rPr>
          <w:rFonts w:ascii="Arial Narrow" w:hAnsi="Arial Narrow" w:cs="Noto Sans"/>
          <w:b/>
          <w:bCs/>
          <w:sz w:val="22"/>
          <w:szCs w:val="22"/>
          <w:lang w:val="es-MX"/>
        </w:rPr>
        <w:t>En el caso de los bienes que se integren por varios elementos y/o accesorios, el licitante deberá entregar la documentación referente a CALIDAD, para cada uno de ellos.</w:t>
      </w:r>
    </w:p>
    <w:p w:rsidR="007B3BF0" w:rsidRPr="00840B2F" w:rsidRDefault="007B3BF0" w:rsidP="007B3BF0">
      <w:pPr>
        <w:ind w:left="284" w:right="130"/>
        <w:jc w:val="both"/>
        <w:rPr>
          <w:rFonts w:ascii="Arial Narrow" w:hAnsi="Arial Narrow" w:cs="Noto Sans"/>
          <w:bCs/>
          <w:sz w:val="22"/>
          <w:szCs w:val="22"/>
          <w:lang w:val="es-MX"/>
        </w:rPr>
      </w:pPr>
    </w:p>
    <w:p w:rsidR="007B3BF0" w:rsidRPr="00840B2F" w:rsidRDefault="007B3BF0" w:rsidP="007B3BF0">
      <w:pPr>
        <w:ind w:left="284" w:right="130"/>
        <w:jc w:val="both"/>
        <w:rPr>
          <w:rFonts w:ascii="Arial Narrow" w:hAnsi="Arial Narrow" w:cs="Noto Sans"/>
          <w:bCs/>
          <w:sz w:val="22"/>
          <w:szCs w:val="22"/>
          <w:lang w:val="es-MX"/>
        </w:rPr>
      </w:pPr>
      <w:r w:rsidRPr="00840B2F">
        <w:rPr>
          <w:rFonts w:ascii="Arial Narrow" w:hAnsi="Arial Narrow" w:cs="Noto Sans"/>
          <w:bCs/>
          <w:sz w:val="22"/>
          <w:szCs w:val="22"/>
          <w:lang w:val="es-MX"/>
        </w:rPr>
        <w:t>El participante deberá acompañar a su proposición técnica, en copia simple, la documentación que a continuación se señala:</w:t>
      </w:r>
    </w:p>
    <w:p w:rsidR="007B3BF0" w:rsidRPr="00840B2F" w:rsidRDefault="007B3BF0" w:rsidP="007B3BF0">
      <w:pPr>
        <w:ind w:left="284" w:right="130"/>
        <w:jc w:val="both"/>
        <w:rPr>
          <w:rFonts w:ascii="Arial Narrow" w:hAnsi="Arial Narrow" w:cs="Noto Sans"/>
          <w:bCs/>
          <w:sz w:val="22"/>
          <w:szCs w:val="22"/>
          <w:lang w:val="es-MX"/>
        </w:rPr>
      </w:pPr>
    </w:p>
    <w:p w:rsidR="007B3BF0" w:rsidRPr="00840B2F" w:rsidRDefault="007B3BF0" w:rsidP="007B3BF0">
      <w:pPr>
        <w:pStyle w:val="Prrafodelista"/>
        <w:numPr>
          <w:ilvl w:val="0"/>
          <w:numId w:val="4"/>
        </w:numPr>
        <w:spacing w:after="160" w:line="259" w:lineRule="auto"/>
        <w:ind w:right="130"/>
        <w:jc w:val="both"/>
        <w:rPr>
          <w:rFonts w:ascii="Arial Narrow" w:hAnsi="Arial Narrow" w:cs="Noto Sans"/>
          <w:bCs/>
        </w:rPr>
      </w:pPr>
      <w:r w:rsidRPr="00840B2F">
        <w:rPr>
          <w:rFonts w:ascii="Arial Narrow" w:hAnsi="Arial Narrow" w:cs="Noto Sans"/>
          <w:bCs/>
        </w:rPr>
        <w:t>Aviso de Funcionamiento.</w:t>
      </w:r>
    </w:p>
    <w:p w:rsidR="007B3BF0" w:rsidRPr="00840B2F" w:rsidRDefault="007B3BF0" w:rsidP="007B3BF0">
      <w:pPr>
        <w:pStyle w:val="Prrafodelista"/>
        <w:numPr>
          <w:ilvl w:val="0"/>
          <w:numId w:val="4"/>
        </w:numPr>
        <w:spacing w:after="160" w:line="259" w:lineRule="auto"/>
        <w:ind w:right="130"/>
        <w:jc w:val="both"/>
        <w:rPr>
          <w:rFonts w:ascii="Arial Narrow" w:hAnsi="Arial Narrow" w:cs="Noto Sans"/>
          <w:bCs/>
        </w:rPr>
      </w:pPr>
      <w:r w:rsidRPr="00840B2F">
        <w:rPr>
          <w:rFonts w:ascii="Arial Narrow" w:hAnsi="Arial Narrow" w:cs="Noto Sans"/>
          <w:bCs/>
        </w:rPr>
        <w:t>Autorización del Responsable Sanitario.</w:t>
      </w:r>
    </w:p>
    <w:p w:rsidR="007B3BF0" w:rsidRPr="00840B2F" w:rsidRDefault="007B3BF0" w:rsidP="007B3BF0">
      <w:pPr>
        <w:pStyle w:val="Prrafodelista"/>
        <w:numPr>
          <w:ilvl w:val="0"/>
          <w:numId w:val="4"/>
        </w:numPr>
        <w:spacing w:after="160" w:line="259" w:lineRule="auto"/>
        <w:ind w:right="130"/>
        <w:jc w:val="both"/>
        <w:rPr>
          <w:rFonts w:ascii="Arial Narrow" w:hAnsi="Arial Narrow" w:cs="Noto Sans"/>
          <w:bCs/>
        </w:rPr>
      </w:pPr>
      <w:r w:rsidRPr="00840B2F">
        <w:rPr>
          <w:rFonts w:ascii="Arial Narrow" w:hAnsi="Arial Narrow" w:cs="Noto Sans"/>
          <w:bCs/>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rsidR="007B3BF0" w:rsidRPr="00840B2F" w:rsidRDefault="007B3BF0" w:rsidP="007B3BF0">
      <w:pPr>
        <w:ind w:right="130"/>
        <w:jc w:val="both"/>
        <w:rPr>
          <w:rFonts w:ascii="Arial Narrow" w:hAnsi="Arial Narrow" w:cs="Noto Sans"/>
          <w:b/>
          <w:bCs/>
          <w:sz w:val="22"/>
          <w:szCs w:val="22"/>
          <w:lang w:val="es-MX"/>
        </w:rPr>
      </w:pPr>
      <w:r w:rsidRPr="00840B2F">
        <w:rPr>
          <w:rFonts w:ascii="Arial Narrow" w:hAnsi="Arial Narrow" w:cs="Noto Sans"/>
          <w:b/>
          <w:bCs/>
          <w:sz w:val="22"/>
          <w:szCs w:val="22"/>
          <w:lang w:val="es-MX"/>
        </w:rPr>
        <w:t>En caso de que el Registro Sanitario no se encuentre dentro del periodo de vigencia de 5</w:t>
      </w:r>
      <w:r w:rsidRPr="00840B2F">
        <w:rPr>
          <w:rFonts w:ascii="Arial Narrow" w:hAnsi="Arial Narrow" w:cs="Noto Sans"/>
          <w:bCs/>
          <w:sz w:val="22"/>
          <w:szCs w:val="22"/>
          <w:lang w:val="es-MX"/>
        </w:rPr>
        <w:t xml:space="preserve"> </w:t>
      </w:r>
      <w:r w:rsidRPr="00840B2F">
        <w:rPr>
          <w:rFonts w:ascii="Arial Narrow" w:hAnsi="Arial Narrow" w:cs="Noto Sans"/>
          <w:b/>
          <w:bCs/>
          <w:sz w:val="22"/>
          <w:szCs w:val="22"/>
          <w:lang w:val="es-MX"/>
        </w:rPr>
        <w:t>años, conforme al artículo 376 de la Ley General de Salud, deberá presentar:</w:t>
      </w:r>
    </w:p>
    <w:p w:rsidR="007B3BF0" w:rsidRPr="00840B2F" w:rsidRDefault="007B3BF0" w:rsidP="007B3BF0">
      <w:pPr>
        <w:ind w:left="284" w:right="130"/>
        <w:jc w:val="both"/>
        <w:rPr>
          <w:rFonts w:ascii="Arial Narrow" w:hAnsi="Arial Narrow" w:cs="Noto Sans"/>
          <w:bCs/>
          <w:sz w:val="22"/>
          <w:szCs w:val="22"/>
          <w:lang w:val="es-MX"/>
        </w:rPr>
      </w:pPr>
    </w:p>
    <w:p w:rsidR="007B3BF0" w:rsidRPr="00840B2F" w:rsidRDefault="007B3BF0" w:rsidP="007B3BF0">
      <w:pPr>
        <w:pStyle w:val="Prrafodelista"/>
        <w:numPr>
          <w:ilvl w:val="0"/>
          <w:numId w:val="5"/>
        </w:numPr>
        <w:spacing w:after="160" w:line="259" w:lineRule="auto"/>
        <w:ind w:right="130"/>
        <w:jc w:val="both"/>
        <w:rPr>
          <w:rFonts w:ascii="Arial Narrow" w:hAnsi="Arial Narrow" w:cs="Noto Sans"/>
          <w:bCs/>
        </w:rPr>
      </w:pPr>
      <w:r w:rsidRPr="00840B2F">
        <w:rPr>
          <w:rFonts w:ascii="Arial Narrow" w:hAnsi="Arial Narrow" w:cs="Noto Sans"/>
          <w:bCs/>
        </w:rPr>
        <w:t>Copia simple del Registro Sanitario sometido a prórroga acorde a los lineamientos de COFEPRIS.</w:t>
      </w:r>
    </w:p>
    <w:p w:rsidR="007B3BF0" w:rsidRPr="00840B2F" w:rsidRDefault="007B3BF0" w:rsidP="007B3BF0">
      <w:pPr>
        <w:pStyle w:val="Prrafodelista"/>
        <w:numPr>
          <w:ilvl w:val="0"/>
          <w:numId w:val="5"/>
        </w:numPr>
        <w:spacing w:after="160" w:line="259" w:lineRule="auto"/>
        <w:ind w:right="130"/>
        <w:jc w:val="both"/>
        <w:rPr>
          <w:rFonts w:ascii="Arial Narrow" w:hAnsi="Arial Narrow" w:cs="Noto Sans"/>
          <w:bCs/>
        </w:rPr>
      </w:pPr>
      <w:r w:rsidRPr="00840B2F">
        <w:rPr>
          <w:rFonts w:ascii="Arial Narrow" w:hAnsi="Arial Narrow" w:cs="Noto Sans"/>
          <w:bCs/>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rsidR="007B3BF0" w:rsidRPr="00840B2F" w:rsidRDefault="007B3BF0" w:rsidP="007B3BF0">
      <w:pPr>
        <w:pStyle w:val="Prrafodelista"/>
        <w:numPr>
          <w:ilvl w:val="0"/>
          <w:numId w:val="5"/>
        </w:numPr>
        <w:spacing w:after="160" w:line="259" w:lineRule="auto"/>
        <w:ind w:right="130"/>
        <w:jc w:val="both"/>
        <w:rPr>
          <w:rFonts w:ascii="Arial Narrow" w:hAnsi="Arial Narrow" w:cs="Noto Sans"/>
          <w:bCs/>
        </w:rPr>
      </w:pPr>
      <w:r w:rsidRPr="00840B2F">
        <w:rPr>
          <w:rFonts w:ascii="Arial Narrow" w:hAnsi="Arial Narrow" w:cs="Noto Sans"/>
          <w:bC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A54F40" w:rsidRDefault="00A54F40"/>
    <w:sectPr w:rsidR="00A54F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F6DEE"/>
    <w:multiLevelType w:val="hybridMultilevel"/>
    <w:tmpl w:val="6EA67332"/>
    <w:lvl w:ilvl="0" w:tplc="A1689A86">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1">
    <w:nsid w:val="2C101EBF"/>
    <w:multiLevelType w:val="hybridMultilevel"/>
    <w:tmpl w:val="F0B01A78"/>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
    <w:nsid w:val="585B5254"/>
    <w:multiLevelType w:val="hybridMultilevel"/>
    <w:tmpl w:val="DCA41F8A"/>
    <w:lvl w:ilvl="0" w:tplc="6EC88CD2">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3">
    <w:nsid w:val="5A7C1E0B"/>
    <w:multiLevelType w:val="hybridMultilevel"/>
    <w:tmpl w:val="B896089E"/>
    <w:lvl w:ilvl="0" w:tplc="22FA32CA">
      <w:start w:val="1"/>
      <w:numFmt w:val="lowerLetter"/>
      <w:lvlText w:val="%1)"/>
      <w:lvlJc w:val="left"/>
      <w:pPr>
        <w:ind w:left="1124" w:hanging="420"/>
      </w:pPr>
      <w:rPr>
        <w:rFonts w:hint="default"/>
      </w:rPr>
    </w:lvl>
    <w:lvl w:ilvl="1" w:tplc="035E6A9A">
      <w:numFmt w:val="bullet"/>
      <w:lvlText w:val="•"/>
      <w:lvlJc w:val="left"/>
      <w:pPr>
        <w:ind w:left="2129" w:hanging="705"/>
      </w:pPr>
      <w:rPr>
        <w:rFonts w:ascii="Century Gothic" w:eastAsiaTheme="minorEastAsia" w:hAnsi="Century Gothic" w:cs="Noto Sans" w:hint="default"/>
      </w:r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4">
    <w:nsid w:val="7ABE23B0"/>
    <w:multiLevelType w:val="hybridMultilevel"/>
    <w:tmpl w:val="7EC00562"/>
    <w:lvl w:ilvl="0" w:tplc="B414F3D2">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F0"/>
    <w:rsid w:val="007B3BF0"/>
    <w:rsid w:val="00A54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F0"/>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7B3BF0"/>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7B3BF0"/>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F0"/>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7B3BF0"/>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7B3B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 Luz Macias De La Huerta</dc:creator>
  <cp:lastModifiedBy>Maria De La Luz Macias De La Huerta</cp:lastModifiedBy>
  <cp:revision>1</cp:revision>
  <dcterms:created xsi:type="dcterms:W3CDTF">2025-11-04T18:11:00Z</dcterms:created>
  <dcterms:modified xsi:type="dcterms:W3CDTF">2025-11-04T18:12:00Z</dcterms:modified>
</cp:coreProperties>
</file>