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29" w:rsidRPr="00AD7243" w:rsidRDefault="002F7229" w:rsidP="002F7229">
      <w:pPr>
        <w:spacing w:after="120"/>
        <w:ind w:left="142" w:hanging="2"/>
        <w:jc w:val="both"/>
        <w:rPr>
          <w:rFonts w:ascii="Arial Narrow" w:hAnsi="Arial Narrow" w:cs="Arial"/>
          <w:b/>
          <w:sz w:val="22"/>
          <w:szCs w:val="22"/>
        </w:rPr>
      </w:pPr>
      <w:r w:rsidRPr="00AD7243">
        <w:rPr>
          <w:rFonts w:ascii="Arial Narrow" w:hAnsi="Arial Narrow" w:cs="Arial"/>
          <w:b/>
          <w:sz w:val="22"/>
          <w:szCs w:val="22"/>
        </w:rPr>
        <w:t>PARA FORMULAR SU INFORMACIÓN/COTIZACIÓN, SE DEBERA CONSIDERAR LOS SIGUIENTES ASPECTOS:</w:t>
      </w:r>
    </w:p>
    <w:p w:rsidR="002F7229" w:rsidRPr="00AD7243" w:rsidRDefault="002F7229" w:rsidP="002F7229">
      <w:pPr>
        <w:spacing w:after="120"/>
        <w:ind w:left="142" w:hanging="2"/>
        <w:jc w:val="both"/>
        <w:rPr>
          <w:rFonts w:ascii="Arial Narrow" w:hAnsi="Arial Narrow" w:cs="Arial"/>
          <w:b/>
          <w:sz w:val="22"/>
          <w:szCs w:val="22"/>
        </w:rPr>
      </w:pPr>
    </w:p>
    <w:p w:rsidR="002F7229" w:rsidRPr="00AD7243" w:rsidRDefault="002F7229" w:rsidP="002F7229">
      <w:pPr>
        <w:numPr>
          <w:ilvl w:val="0"/>
          <w:numId w:val="1"/>
        </w:numPr>
        <w:spacing w:after="120"/>
        <w:jc w:val="both"/>
        <w:rPr>
          <w:rFonts w:ascii="Arial Narrow" w:hAnsi="Arial Narrow" w:cs="Arial"/>
          <w:b/>
          <w:bCs/>
          <w:sz w:val="22"/>
          <w:szCs w:val="22"/>
        </w:rPr>
      </w:pPr>
      <w:r w:rsidRPr="00AD7243">
        <w:rPr>
          <w:rFonts w:ascii="Arial Narrow" w:hAnsi="Arial Narrow" w:cs="Arial"/>
          <w:b/>
          <w:bCs/>
          <w:sz w:val="22"/>
          <w:szCs w:val="22"/>
        </w:rPr>
        <w:t>1.- Los datos de los servicios a cotizar se describen en el Anexo 1 (Uno) requerimiento.</w:t>
      </w:r>
    </w:p>
    <w:p w:rsidR="002F7229" w:rsidRPr="00AD7243" w:rsidRDefault="002F7229" w:rsidP="002F7229">
      <w:pPr>
        <w:numPr>
          <w:ilvl w:val="0"/>
          <w:numId w:val="1"/>
        </w:numPr>
        <w:spacing w:after="120"/>
        <w:jc w:val="both"/>
        <w:rPr>
          <w:rFonts w:ascii="Arial Narrow" w:hAnsi="Arial Narrow" w:cs="Arial"/>
          <w:b/>
          <w:bCs/>
          <w:sz w:val="22"/>
          <w:szCs w:val="22"/>
        </w:rPr>
      </w:pPr>
      <w:r w:rsidRPr="00AD7243">
        <w:rPr>
          <w:rFonts w:ascii="Arial Narrow" w:eastAsiaTheme="minorHAnsi" w:hAnsi="Arial Narrow" w:cs="Arial"/>
          <w:sz w:val="22"/>
          <w:szCs w:val="22"/>
        </w:rPr>
        <w:t>El plazo de vigencia será a partir de emisión del dictamen al 31 de diciembre de 2025</w:t>
      </w:r>
    </w:p>
    <w:p w:rsidR="002F7229" w:rsidRPr="001C302B" w:rsidRDefault="002F7229" w:rsidP="002F7229">
      <w:pPr>
        <w:numPr>
          <w:ilvl w:val="0"/>
          <w:numId w:val="1"/>
        </w:numPr>
        <w:spacing w:before="60" w:after="60"/>
        <w:jc w:val="both"/>
        <w:rPr>
          <w:rFonts w:ascii="Arial Narrow" w:hAnsi="Arial Narrow" w:cs="Arial"/>
          <w:noProof/>
          <w:sz w:val="22"/>
          <w:szCs w:val="22"/>
        </w:rPr>
      </w:pPr>
      <w:r w:rsidRPr="00AD7243">
        <w:rPr>
          <w:rFonts w:ascii="Arial Narrow" w:hAnsi="Arial Narrow" w:cs="Arial"/>
          <w:b/>
          <w:bCs/>
          <w:sz w:val="22"/>
          <w:szCs w:val="22"/>
        </w:rPr>
        <w:t>2.- Condiciones de entrega:</w:t>
      </w:r>
    </w:p>
    <w:p w:rsidR="002F7229" w:rsidRPr="00AD7243" w:rsidRDefault="002F7229" w:rsidP="002F7229">
      <w:pPr>
        <w:pStyle w:val="Prrafodelista"/>
        <w:tabs>
          <w:tab w:val="left" w:pos="-284"/>
        </w:tabs>
        <w:suppressAutoHyphens/>
        <w:overflowPunct w:val="0"/>
        <w:ind w:left="567"/>
        <w:jc w:val="both"/>
        <w:textAlignment w:val="baseline"/>
        <w:rPr>
          <w:rFonts w:ascii="Arial Narrow" w:hAnsi="Arial Narrow"/>
          <w:bCs/>
        </w:rPr>
      </w:pPr>
    </w:p>
    <w:tbl>
      <w:tblPr>
        <w:tblW w:w="10000" w:type="dxa"/>
        <w:jc w:val="center"/>
        <w:tblCellMar>
          <w:left w:w="70" w:type="dxa"/>
          <w:right w:w="70" w:type="dxa"/>
        </w:tblCellMar>
        <w:tblLook w:val="04A0" w:firstRow="1" w:lastRow="0" w:firstColumn="1" w:lastColumn="0" w:noHBand="0" w:noVBand="1"/>
      </w:tblPr>
      <w:tblGrid>
        <w:gridCol w:w="4360"/>
        <w:gridCol w:w="5640"/>
      </w:tblGrid>
      <w:tr w:rsidR="002F7229" w:rsidRPr="00C72272" w:rsidTr="007360CB">
        <w:trPr>
          <w:trHeight w:val="20"/>
          <w:tblHeader/>
          <w:jc w:val="center"/>
        </w:trPr>
        <w:tc>
          <w:tcPr>
            <w:tcW w:w="436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b/>
                <w:bCs/>
                <w:color w:val="1D1B11" w:themeColor="background2" w:themeShade="1A"/>
                <w:sz w:val="18"/>
              </w:rPr>
            </w:pPr>
            <w:r w:rsidRPr="00C72272">
              <w:rPr>
                <w:rFonts w:ascii="Arial Narrow" w:hAnsi="Arial Narrow"/>
                <w:b/>
                <w:bCs/>
                <w:color w:val="1D1B11" w:themeColor="background2" w:themeShade="1A"/>
                <w:sz w:val="18"/>
              </w:rPr>
              <w:t>LUGAR DE ENTREGA DE LOS BIENES</w:t>
            </w:r>
          </w:p>
        </w:tc>
        <w:tc>
          <w:tcPr>
            <w:tcW w:w="5640"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b/>
                <w:bCs/>
                <w:color w:val="1D1B11" w:themeColor="background2" w:themeShade="1A"/>
                <w:sz w:val="18"/>
              </w:rPr>
            </w:pPr>
            <w:r w:rsidRPr="00C72272">
              <w:rPr>
                <w:rFonts w:ascii="Arial Narrow" w:hAnsi="Arial Narrow"/>
                <w:b/>
                <w:bCs/>
                <w:color w:val="1D1B11" w:themeColor="background2" w:themeShade="1A"/>
                <w:sz w:val="18"/>
              </w:rPr>
              <w:t>DIREECCIÓN DEL LUGAR DE ENTREGA DE LOS BIENES</w:t>
            </w:r>
          </w:p>
        </w:tc>
      </w:tr>
      <w:tr w:rsidR="002F7229" w:rsidRPr="00C72272" w:rsidTr="007360CB">
        <w:trPr>
          <w:trHeight w:val="20"/>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sz w:val="18"/>
              </w:rPr>
            </w:pPr>
            <w:r w:rsidRPr="00C72272">
              <w:rPr>
                <w:rFonts w:ascii="Arial Narrow" w:hAnsi="Arial Narrow"/>
                <w:sz w:val="18"/>
              </w:rPr>
              <w:t>HGZ-UMAA 1 Oaxaca</w:t>
            </w:r>
          </w:p>
        </w:tc>
        <w:tc>
          <w:tcPr>
            <w:tcW w:w="5640" w:type="dxa"/>
            <w:tcBorders>
              <w:top w:val="nil"/>
              <w:left w:val="nil"/>
              <w:bottom w:val="single" w:sz="4" w:space="0" w:color="auto"/>
              <w:right w:val="single" w:sz="4" w:space="0" w:color="auto"/>
            </w:tcBorders>
            <w:shd w:val="clear" w:color="000000" w:fill="FFC000"/>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sz w:val="18"/>
              </w:rPr>
            </w:pPr>
            <w:r w:rsidRPr="00C72272">
              <w:rPr>
                <w:rFonts w:ascii="Arial Narrow" w:hAnsi="Arial Narrow"/>
                <w:sz w:val="18"/>
              </w:rPr>
              <w:t xml:space="preserve">Calzada  </w:t>
            </w:r>
            <w:proofErr w:type="spellStart"/>
            <w:r w:rsidRPr="00C72272">
              <w:rPr>
                <w:rFonts w:ascii="Arial Narrow" w:hAnsi="Arial Narrow"/>
                <w:sz w:val="18"/>
              </w:rPr>
              <w:t>Heroes</w:t>
            </w:r>
            <w:proofErr w:type="spellEnd"/>
            <w:r w:rsidRPr="00C72272">
              <w:rPr>
                <w:rFonts w:ascii="Arial Narrow" w:hAnsi="Arial Narrow"/>
                <w:sz w:val="18"/>
              </w:rPr>
              <w:t xml:space="preserve"> de Chapultepec  No. 621, Colonia  Oaxaca Centro  C.P. 68000 Oaxaca de Juárez, Municipio de Oaxaca de Juárez, Oaxaca</w:t>
            </w:r>
          </w:p>
        </w:tc>
      </w:tr>
      <w:tr w:rsidR="002F7229" w:rsidRPr="00C72272" w:rsidTr="007360CB">
        <w:trPr>
          <w:trHeight w:val="20"/>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sz w:val="18"/>
              </w:rPr>
            </w:pPr>
            <w:r w:rsidRPr="00C72272">
              <w:rPr>
                <w:rFonts w:ascii="Arial Narrow" w:hAnsi="Arial Narrow"/>
                <w:sz w:val="18"/>
              </w:rPr>
              <w:t>HGZMF 2 Salina Cruz</w:t>
            </w:r>
          </w:p>
        </w:tc>
        <w:tc>
          <w:tcPr>
            <w:tcW w:w="5640" w:type="dxa"/>
            <w:tcBorders>
              <w:top w:val="nil"/>
              <w:left w:val="nil"/>
              <w:bottom w:val="single" w:sz="4" w:space="0" w:color="auto"/>
              <w:right w:val="single" w:sz="4" w:space="0" w:color="auto"/>
            </w:tcBorders>
            <w:shd w:val="clear" w:color="000000" w:fill="FFC000"/>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sz w:val="18"/>
              </w:rPr>
            </w:pPr>
            <w:r w:rsidRPr="00C72272">
              <w:rPr>
                <w:rFonts w:ascii="Arial Narrow" w:hAnsi="Arial Narrow"/>
                <w:sz w:val="18"/>
              </w:rPr>
              <w:t xml:space="preserve">Calle Nicolas Bravo , No.1 Colonia Hidalgo Oriente  C.P.70610, Municipio Salina </w:t>
            </w:r>
            <w:proofErr w:type="spellStart"/>
            <w:r w:rsidRPr="00C72272">
              <w:rPr>
                <w:rFonts w:ascii="Arial Narrow" w:hAnsi="Arial Narrow"/>
                <w:sz w:val="18"/>
              </w:rPr>
              <w:t>Cruz,Oaxaca</w:t>
            </w:r>
            <w:proofErr w:type="spellEnd"/>
            <w:r w:rsidRPr="00C72272">
              <w:rPr>
                <w:rFonts w:ascii="Arial Narrow" w:hAnsi="Arial Narrow"/>
                <w:sz w:val="18"/>
              </w:rPr>
              <w:t xml:space="preserve"> </w:t>
            </w:r>
          </w:p>
        </w:tc>
      </w:tr>
      <w:tr w:rsidR="002F7229" w:rsidRPr="00C72272" w:rsidTr="007360CB">
        <w:trPr>
          <w:trHeight w:val="20"/>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sz w:val="18"/>
              </w:rPr>
            </w:pPr>
            <w:r w:rsidRPr="00C72272">
              <w:rPr>
                <w:rFonts w:ascii="Arial Narrow" w:hAnsi="Arial Narrow"/>
                <w:sz w:val="18"/>
              </w:rPr>
              <w:t>HGZ 3 Tuxtepec</w:t>
            </w:r>
          </w:p>
        </w:tc>
        <w:tc>
          <w:tcPr>
            <w:tcW w:w="5640" w:type="dxa"/>
            <w:tcBorders>
              <w:top w:val="nil"/>
              <w:left w:val="nil"/>
              <w:bottom w:val="single" w:sz="4" w:space="0" w:color="auto"/>
              <w:right w:val="single" w:sz="4" w:space="0" w:color="auto"/>
            </w:tcBorders>
            <w:shd w:val="clear" w:color="000000" w:fill="FFC000"/>
            <w:vAlign w:val="center"/>
            <w:hideMark/>
          </w:tcPr>
          <w:p w:rsidR="002F7229" w:rsidRPr="00C72272" w:rsidRDefault="002F7229" w:rsidP="007360CB">
            <w:pPr>
              <w:pStyle w:val="Prrafodelista"/>
              <w:tabs>
                <w:tab w:val="left" w:pos="-284"/>
              </w:tabs>
              <w:suppressAutoHyphens/>
              <w:overflowPunct w:val="0"/>
              <w:ind w:left="567"/>
              <w:jc w:val="both"/>
              <w:textAlignment w:val="baseline"/>
              <w:rPr>
                <w:rFonts w:ascii="Arial Narrow" w:hAnsi="Arial Narrow"/>
                <w:sz w:val="18"/>
              </w:rPr>
            </w:pPr>
            <w:r w:rsidRPr="00C72272">
              <w:rPr>
                <w:rFonts w:ascii="Arial Narrow" w:hAnsi="Arial Narrow"/>
                <w:sz w:val="18"/>
              </w:rPr>
              <w:t xml:space="preserve">Boulevard Benito Juárez, antes Carretera Valle Nacional entre calle reforma y </w:t>
            </w:r>
            <w:proofErr w:type="spellStart"/>
            <w:r w:rsidRPr="00C72272">
              <w:rPr>
                <w:rFonts w:ascii="Arial Narrow" w:hAnsi="Arial Narrow"/>
                <w:sz w:val="18"/>
              </w:rPr>
              <w:t>Prolg</w:t>
            </w:r>
            <w:proofErr w:type="spellEnd"/>
            <w:r w:rsidRPr="00C72272">
              <w:rPr>
                <w:rFonts w:ascii="Arial Narrow" w:hAnsi="Arial Narrow"/>
                <w:sz w:val="18"/>
              </w:rPr>
              <w:t>. Av. Independencia No. 141, Colonia  El Castillo  C.P. 68340 San Juan Bautista Tuxtepec, Municipio de San Juan Bautista Tuxtepec, Oaxaca</w:t>
            </w:r>
          </w:p>
        </w:tc>
      </w:tr>
    </w:tbl>
    <w:p w:rsidR="002F7229" w:rsidRPr="00AD7243" w:rsidRDefault="002F7229" w:rsidP="002F7229">
      <w:pPr>
        <w:pStyle w:val="Prrafodelista"/>
        <w:tabs>
          <w:tab w:val="left" w:pos="-284"/>
        </w:tabs>
        <w:overflowPunct w:val="0"/>
        <w:ind w:left="567"/>
        <w:jc w:val="both"/>
        <w:textAlignment w:val="baseline"/>
        <w:rPr>
          <w:rFonts w:ascii="Arial Narrow" w:hAnsi="Arial Narrow"/>
          <w:bCs/>
        </w:rPr>
      </w:pPr>
    </w:p>
    <w:p w:rsidR="002F7229" w:rsidRPr="00AD7243" w:rsidRDefault="002F7229" w:rsidP="002F7229">
      <w:pPr>
        <w:pStyle w:val="Prrafodelista"/>
        <w:tabs>
          <w:tab w:val="left" w:pos="-284"/>
        </w:tabs>
        <w:overflowPunct w:val="0"/>
        <w:ind w:left="567"/>
        <w:jc w:val="both"/>
        <w:textAlignment w:val="baseline"/>
        <w:rPr>
          <w:rFonts w:ascii="Arial Narrow" w:hAnsi="Arial Narrow"/>
          <w:bCs/>
        </w:rPr>
      </w:pPr>
    </w:p>
    <w:p w:rsidR="002F7229" w:rsidRPr="00AD7243" w:rsidRDefault="002F7229" w:rsidP="002F7229">
      <w:pPr>
        <w:pStyle w:val="Prrafodelista"/>
        <w:tabs>
          <w:tab w:val="left" w:pos="-284"/>
        </w:tabs>
        <w:overflowPunct w:val="0"/>
        <w:ind w:left="567"/>
        <w:jc w:val="both"/>
        <w:textAlignment w:val="baseline"/>
        <w:rPr>
          <w:rFonts w:ascii="Arial Narrow" w:hAnsi="Arial Narrow"/>
          <w:b/>
          <w:bCs/>
        </w:rPr>
      </w:pPr>
      <w:r w:rsidRPr="00AD7243">
        <w:rPr>
          <w:rFonts w:ascii="Arial Narrow" w:hAnsi="Arial Narrow"/>
          <w:b/>
          <w:bCs/>
        </w:rPr>
        <w:t xml:space="preserve">Nota: La entrega acorde a las necesidades del paciente, pudiendo ser que el paciente acuda a las instalaciones del proveedor o que el proveedor acuda al Hospital (citando previamente al paciente) o que el proveedor acuda a la residencia del derechohabiente en caso de que por las condiciones del padecimiento el paciente no pudiera desplazarse. </w:t>
      </w:r>
    </w:p>
    <w:p w:rsidR="002F7229" w:rsidRPr="00AD7243" w:rsidRDefault="002F7229" w:rsidP="002F7229">
      <w:pPr>
        <w:ind w:left="142"/>
        <w:jc w:val="both"/>
        <w:rPr>
          <w:rFonts w:ascii="Arial Narrow" w:hAnsi="Arial Narrow" w:cs="Arial"/>
          <w:sz w:val="22"/>
          <w:szCs w:val="22"/>
        </w:rPr>
      </w:pPr>
      <w:r w:rsidRPr="00AD7243">
        <w:rPr>
          <w:rFonts w:ascii="Arial Narrow" w:hAnsi="Arial Narrow" w:cs="Arial"/>
          <w:sz w:val="22"/>
          <w:szCs w:val="22"/>
        </w:rPr>
        <w:t xml:space="preserve">El proveedor que resulte adjudicado deberá de entregar la prótesis, </w:t>
      </w:r>
      <w:proofErr w:type="spellStart"/>
      <w:r w:rsidRPr="00AD7243">
        <w:rPr>
          <w:rFonts w:ascii="Arial Narrow" w:hAnsi="Arial Narrow" w:cs="Arial"/>
          <w:sz w:val="22"/>
          <w:szCs w:val="22"/>
        </w:rPr>
        <w:t>ortesis</w:t>
      </w:r>
      <w:proofErr w:type="spellEnd"/>
      <w:r w:rsidRPr="00AD7243">
        <w:rPr>
          <w:rFonts w:ascii="Arial Narrow" w:hAnsi="Arial Narrow" w:cs="Arial"/>
          <w:sz w:val="22"/>
          <w:szCs w:val="22"/>
        </w:rPr>
        <w:t xml:space="preserve"> o ayuda funcional en los próximos 30 días posterior a la solicitud mediante correo electrónico u otro medio que deje evidencia, la cual podrá ser solicitada al proveedor por el Director, Subdirector Médico, Subdirector Administrativo o el Jefe de Abastecimiento de la unidad médica, quienes deberá de coordinar con el proveedor el procedimiento de entrega acorde a las necesidades del servicio o paciente, pudiendo ser que el paciente acuda a las instalaciones del proveedor o que el proveedor acuda al Hospital (citando previamente al paciente) o que el proveedor acuda a la residencia del derechohabiente en caso de que por las condiciones del padecimiento el paciente no pudiera desplazarse.</w:t>
      </w:r>
    </w:p>
    <w:p w:rsidR="002F7229" w:rsidRPr="00AD7243" w:rsidRDefault="002F7229" w:rsidP="002F7229">
      <w:pPr>
        <w:ind w:left="142"/>
        <w:jc w:val="both"/>
        <w:rPr>
          <w:rFonts w:ascii="Arial Narrow" w:hAnsi="Arial Narrow" w:cs="Arial"/>
          <w:b/>
          <w:sz w:val="22"/>
          <w:szCs w:val="22"/>
        </w:rPr>
      </w:pPr>
    </w:p>
    <w:p w:rsidR="002F7229" w:rsidRPr="00AD7243" w:rsidRDefault="002F7229" w:rsidP="002F7229">
      <w:pPr>
        <w:ind w:left="142"/>
        <w:jc w:val="both"/>
        <w:rPr>
          <w:rFonts w:ascii="Arial Narrow" w:hAnsi="Arial Narrow" w:cs="Arial"/>
          <w:b/>
          <w:sz w:val="22"/>
          <w:szCs w:val="22"/>
        </w:rPr>
      </w:pPr>
      <w:r w:rsidRPr="00AD7243">
        <w:rPr>
          <w:rFonts w:ascii="Arial Narrow" w:hAnsi="Arial Narrow" w:cs="Arial"/>
          <w:sz w:val="22"/>
          <w:szCs w:val="22"/>
        </w:rPr>
        <w:t xml:space="preserve">Posterior a que el paciente reciba su prótesis, el medico solicitante del bien o el médico tratante del paciente, podrá validar el correcto funcionamiento y adecuación de la prótesis en el próximo año siguiente a partir de la dotación de la prótesis. En caso de que en el próximo año a partir de la dotación de la prótesis al paciente se detectara una mala adecuación por errores del proveedor, evolución de la herida, cambios del peso del paciente, vicios ocultos del material u alguna otra que no impliquen un mal uso, el proveedor deberá de subsanar las adecuaciones acorde a lo establecido en las garantías del contrato.  </w:t>
      </w:r>
    </w:p>
    <w:p w:rsidR="001B2AA9" w:rsidRDefault="001B2AA9">
      <w:bookmarkStart w:id="0" w:name="_GoBack"/>
      <w:bookmarkEnd w:id="0"/>
    </w:p>
    <w:sectPr w:rsidR="001B2A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11.55pt;height:11.55pt" o:bullet="t">
        <v:imagedata r:id="rId1" o:title="BD14579_"/>
      </v:shape>
    </w:pict>
  </w:numPicBullet>
  <w:abstractNum w:abstractNumId="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29"/>
    <w:rsid w:val="001B2AA9"/>
    <w:rsid w:val="002F72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29"/>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2F7229"/>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2F7229"/>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29"/>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2F7229"/>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2F722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 Luz Macias De La Huerta</dc:creator>
  <cp:lastModifiedBy>Maria De La Luz Macias De La Huerta</cp:lastModifiedBy>
  <cp:revision>1</cp:revision>
  <dcterms:created xsi:type="dcterms:W3CDTF">2025-10-28T16:41:00Z</dcterms:created>
  <dcterms:modified xsi:type="dcterms:W3CDTF">2025-10-28T16:42:00Z</dcterms:modified>
</cp:coreProperties>
</file>