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056461A7"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00153E51">
        <w:rPr>
          <w:rFonts w:ascii="Arial" w:hAnsi="Arial" w:cs="Arial"/>
          <w:b/>
          <w:sz w:val="18"/>
          <w:szCs w:val="18"/>
        </w:rPr>
        <w:t>35 Fracción III, 36, 39</w:t>
      </w:r>
      <w:r w:rsidRPr="00A45A8F">
        <w:rPr>
          <w:rFonts w:ascii="Arial" w:hAnsi="Arial" w:cs="Arial"/>
          <w:b/>
          <w:sz w:val="18"/>
          <w:szCs w:val="18"/>
        </w:rPr>
        <w:t xml:space="preserve"> Fracción </w:t>
      </w:r>
      <w:r>
        <w:rPr>
          <w:rFonts w:ascii="Arial" w:hAnsi="Arial" w:cs="Arial"/>
          <w:b/>
          <w:sz w:val="18"/>
          <w:szCs w:val="18"/>
        </w:rPr>
        <w:t>II</w:t>
      </w:r>
      <w:r w:rsidR="00153E51">
        <w:rPr>
          <w:rFonts w:ascii="Arial" w:hAnsi="Arial" w:cs="Arial"/>
          <w:b/>
          <w:sz w:val="18"/>
          <w:szCs w:val="18"/>
        </w:rPr>
        <w:t>, 47, 48, 54 fracción V, 66, 67</w:t>
      </w:r>
      <w:r w:rsidR="00594C9F">
        <w:rPr>
          <w:rFonts w:ascii="Arial" w:hAnsi="Arial" w:cs="Arial"/>
          <w:b/>
          <w:sz w:val="18"/>
          <w:szCs w:val="18"/>
        </w:rPr>
        <w:t xml:space="preserve"> y 71</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83307A">
        <w:rPr>
          <w:rFonts w:ascii="Arial" w:hAnsi="Arial" w:cs="Arial"/>
          <w:b/>
          <w:sz w:val="18"/>
          <w:szCs w:val="18"/>
        </w:rPr>
        <w:t>AA-50-GYR-050GYR002-T-</w:t>
      </w:r>
      <w:r w:rsidR="00DE4172">
        <w:rPr>
          <w:rFonts w:ascii="Arial" w:hAnsi="Arial" w:cs="Arial"/>
          <w:b/>
          <w:sz w:val="18"/>
          <w:szCs w:val="18"/>
        </w:rPr>
        <w:t>87</w:t>
      </w:r>
      <w:r w:rsidR="00E87E3A" w:rsidRPr="0083307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bookmarkStart w:id="0" w:name="_GoBack"/>
      <w:bookmarkEnd w:id="0"/>
    </w:p>
    <w:p w14:paraId="2D3C7AC5" w14:textId="6D5C4D7A"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w:t>
      </w:r>
      <w:r w:rsidR="00594C9F">
        <w:rPr>
          <w:rFonts w:ascii="Arial" w:hAnsi="Arial" w:cs="Arial"/>
          <w:sz w:val="18"/>
          <w:szCs w:val="18"/>
          <w:lang w:val="es-MX"/>
        </w:rPr>
        <w:t xml:space="preserve">la </w:t>
      </w:r>
      <w:r w:rsidR="00594C9F" w:rsidRPr="00594C9F">
        <w:rPr>
          <w:rFonts w:ascii="Arial" w:hAnsi="Arial" w:cs="Arial"/>
          <w:b/>
          <w:sz w:val="18"/>
          <w:szCs w:val="18"/>
          <w:lang w:val="es-MX"/>
        </w:rPr>
        <w:t xml:space="preserve">Adquisición de Sistema de implante coclear recto delgado, CI622 con procesador Nucleus 8. Perteneciente a la casa comercial </w:t>
      </w:r>
      <w:proofErr w:type="spellStart"/>
      <w:r w:rsidR="00594C9F" w:rsidRPr="00594C9F">
        <w:rPr>
          <w:rFonts w:ascii="Arial" w:hAnsi="Arial" w:cs="Arial"/>
          <w:b/>
          <w:sz w:val="18"/>
          <w:szCs w:val="18"/>
          <w:lang w:val="es-MX"/>
        </w:rPr>
        <w:t>Cochlear</w:t>
      </w:r>
      <w:proofErr w:type="spellEnd"/>
      <w:r w:rsidR="00594C9F" w:rsidRPr="00594C9F">
        <w:rPr>
          <w:rFonts w:ascii="Arial" w:hAnsi="Arial" w:cs="Arial"/>
          <w:b/>
          <w:sz w:val="18"/>
          <w:szCs w:val="18"/>
          <w:lang w:val="es-MX"/>
        </w:rPr>
        <w:t>.</w:t>
      </w:r>
      <w:r w:rsidR="00594C9F">
        <w:rPr>
          <w:rFonts w:ascii="Arial" w:hAnsi="Arial" w:cs="Arial"/>
          <w:sz w:val="18"/>
          <w:szCs w:val="18"/>
          <w:lang w:val="es-MX"/>
        </w:rPr>
        <w:t xml:space="preserve"> </w:t>
      </w:r>
      <w:r w:rsidR="00E87E3A">
        <w:rPr>
          <w:rFonts w:ascii="Arial" w:hAnsi="Arial" w:cs="Arial"/>
          <w:b/>
          <w:sz w:val="18"/>
          <w:szCs w:val="18"/>
          <w:lang w:val="es-MX"/>
        </w:rPr>
        <w:t xml:space="preserve"> </w:t>
      </w:r>
      <w:r w:rsidR="00594C9F" w:rsidRPr="00A45A8F">
        <w:rPr>
          <w:rFonts w:ascii="Arial" w:hAnsi="Arial" w:cs="Arial"/>
          <w:sz w:val="18"/>
          <w:szCs w:val="18"/>
          <w:lang w:val="es-MX"/>
        </w:rPr>
        <w:t>Para</w:t>
      </w:r>
      <w:r w:rsidRPr="00A45A8F">
        <w:rPr>
          <w:rFonts w:ascii="Arial" w:hAnsi="Arial" w:cs="Arial"/>
          <w:sz w:val="18"/>
          <w:szCs w:val="18"/>
          <w:lang w:val="es-MX"/>
        </w:rPr>
        <w:t xml:space="preserve"> </w:t>
      </w:r>
      <w:r w:rsidR="00594C9F">
        <w:rPr>
          <w:rFonts w:ascii="Arial" w:hAnsi="Arial" w:cs="Arial"/>
          <w:sz w:val="18"/>
          <w:szCs w:val="18"/>
          <w:lang w:val="es-MX"/>
        </w:rPr>
        <w:t xml:space="preserve">cubrir </w:t>
      </w:r>
      <w:r w:rsidRPr="00A45A8F">
        <w:rPr>
          <w:rFonts w:ascii="Arial" w:hAnsi="Arial" w:cs="Arial"/>
          <w:sz w:val="18"/>
          <w:szCs w:val="18"/>
          <w:lang w:val="es-MX"/>
        </w:rPr>
        <w:t>las</w:t>
      </w:r>
      <w:r w:rsidR="00594C9F">
        <w:rPr>
          <w:rFonts w:ascii="Arial" w:hAnsi="Arial" w:cs="Arial"/>
          <w:sz w:val="18"/>
          <w:szCs w:val="18"/>
          <w:lang w:val="es-MX"/>
        </w:rPr>
        <w:t xml:space="preserve"> necesidades de las unidades médicas  </w:t>
      </w:r>
      <w:r>
        <w:rPr>
          <w:rFonts w:ascii="Arial" w:hAnsi="Arial" w:cs="Arial"/>
          <w:sz w:val="18"/>
          <w:szCs w:val="18"/>
          <w:lang w:val="es-MX"/>
        </w:rPr>
        <w:t xml:space="preserve">que integran este Órgano de Operación </w:t>
      </w:r>
      <w:r w:rsidRPr="00A45A8F">
        <w:rPr>
          <w:rFonts w:ascii="Arial" w:hAnsi="Arial" w:cs="Arial"/>
          <w:sz w:val="18"/>
          <w:szCs w:val="18"/>
          <w:lang w:val="es-MX"/>
        </w:rPr>
        <w:t xml:space="preserve"> </w:t>
      </w:r>
      <w:r w:rsidR="00594C9F">
        <w:rPr>
          <w:rFonts w:ascii="Arial" w:hAnsi="Arial" w:cs="Arial"/>
          <w:sz w:val="18"/>
          <w:szCs w:val="18"/>
          <w:lang w:val="es-MX"/>
        </w:rPr>
        <w:t xml:space="preserve">Administrativa Desconcentrada en Jalisco </w:t>
      </w:r>
      <w:r w:rsidRPr="00A45A8F">
        <w:rPr>
          <w:rFonts w:ascii="Arial" w:hAnsi="Arial" w:cs="Arial"/>
          <w:sz w:val="18"/>
          <w:szCs w:val="18"/>
          <w:lang w:val="es-MX"/>
        </w:rPr>
        <w:t>sol</w:t>
      </w:r>
      <w:r w:rsidR="003376A5">
        <w:rPr>
          <w:rFonts w:ascii="Arial" w:hAnsi="Arial" w:cs="Arial"/>
          <w:sz w:val="18"/>
          <w:szCs w:val="18"/>
          <w:lang w:val="es-MX"/>
        </w:rPr>
        <w:t xml:space="preserve">icitado por </w:t>
      </w:r>
      <w:r w:rsidR="00594C9F">
        <w:rPr>
          <w:rFonts w:ascii="Arial" w:hAnsi="Arial" w:cs="Arial"/>
          <w:sz w:val="18"/>
          <w:szCs w:val="18"/>
          <w:lang w:val="es-MX"/>
        </w:rPr>
        <w:t>la Jefatura de Servicios de Prestaciones Médicas</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de </w:t>
      </w:r>
      <w:r w:rsidR="00594C9F" w:rsidRPr="00A45A8F">
        <w:rPr>
          <w:rFonts w:ascii="Arial" w:hAnsi="Arial" w:cs="Arial"/>
          <w:sz w:val="18"/>
          <w:szCs w:val="18"/>
          <w:lang w:val="es-MX"/>
        </w:rPr>
        <w:t>este</w:t>
      </w:r>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337C8A2C"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w:t>
      </w:r>
      <w:r w:rsidR="00594C9F">
        <w:rPr>
          <w:rFonts w:ascii="Arial" w:hAnsi="Arial" w:cs="Arial"/>
          <w:sz w:val="18"/>
          <w:szCs w:val="18"/>
        </w:rPr>
        <w:t>xigible el pago dentro de los 17</w:t>
      </w:r>
      <w:r w:rsidRPr="00A45A8F">
        <w:rPr>
          <w:rFonts w:ascii="Arial" w:hAnsi="Arial" w:cs="Arial"/>
          <w:sz w:val="18"/>
          <w:szCs w:val="18"/>
        </w:rPr>
        <w:t xml:space="preserve"> días </w:t>
      </w:r>
      <w:r w:rsidR="00594C9F">
        <w:rPr>
          <w:rFonts w:ascii="Arial" w:hAnsi="Arial" w:cs="Arial"/>
          <w:sz w:val="18"/>
          <w:szCs w:val="18"/>
        </w:rPr>
        <w:t xml:space="preserve">hábiles </w:t>
      </w:r>
      <w:r w:rsidRPr="00A45A8F">
        <w:rPr>
          <w:rFonts w:ascii="Arial" w:hAnsi="Arial" w:cs="Arial"/>
          <w:sz w:val="18"/>
          <w:szCs w:val="18"/>
        </w:rPr>
        <w:t>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2BAA1FBF"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Esta adjudicación directa será electrónica y los participantes solo podrán enviar sus p</w:t>
      </w:r>
      <w:r w:rsidR="00CB7344">
        <w:rPr>
          <w:rFonts w:ascii="Arial" w:hAnsi="Arial" w:cs="Arial"/>
          <w:sz w:val="18"/>
          <w:szCs w:val="18"/>
        </w:rPr>
        <w:t>ropuestas al portal de Compras MX</w:t>
      </w:r>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09913E1F"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r w:rsidR="00CB7344">
        <w:rPr>
          <w:rFonts w:ascii="Arial" w:hAnsi="Arial" w:cs="Arial"/>
          <w:sz w:val="18"/>
          <w:szCs w:val="18"/>
        </w:rPr>
        <w:t>Compras MX</w:t>
      </w:r>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5B4B1A8F" w:rsidR="001E70A8" w:rsidRPr="00E22905"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DE4172">
        <w:rPr>
          <w:rFonts w:ascii="Arial" w:hAnsi="Arial" w:cs="Arial"/>
          <w:b/>
          <w:sz w:val="18"/>
          <w:szCs w:val="18"/>
        </w:rPr>
        <w:t>11</w:t>
      </w:r>
      <w:r w:rsidRPr="00E22905">
        <w:rPr>
          <w:rFonts w:ascii="Arial" w:hAnsi="Arial" w:cs="Arial"/>
          <w:b/>
          <w:sz w:val="18"/>
          <w:szCs w:val="18"/>
        </w:rPr>
        <w:t>:</w:t>
      </w:r>
      <w:r w:rsidR="00D00502" w:rsidRPr="00E22905">
        <w:rPr>
          <w:rFonts w:ascii="Arial" w:hAnsi="Arial" w:cs="Arial"/>
          <w:b/>
          <w:sz w:val="18"/>
          <w:szCs w:val="18"/>
        </w:rPr>
        <w:t>0</w:t>
      </w:r>
      <w:r w:rsidR="00BD44D7" w:rsidRPr="00E22905">
        <w:rPr>
          <w:rFonts w:ascii="Arial" w:hAnsi="Arial" w:cs="Arial"/>
          <w:b/>
          <w:sz w:val="18"/>
          <w:szCs w:val="18"/>
        </w:rPr>
        <w:t>0</w:t>
      </w:r>
      <w:r w:rsidRPr="00E22905">
        <w:rPr>
          <w:rFonts w:ascii="Arial" w:hAnsi="Arial" w:cs="Arial"/>
          <w:b/>
          <w:sz w:val="18"/>
          <w:szCs w:val="18"/>
        </w:rPr>
        <w:t xml:space="preserve"> horas, el día </w:t>
      </w:r>
      <w:r w:rsidR="00DE4172">
        <w:rPr>
          <w:rFonts w:ascii="Arial" w:hAnsi="Arial" w:cs="Arial"/>
          <w:b/>
          <w:sz w:val="18"/>
          <w:szCs w:val="18"/>
        </w:rPr>
        <w:t>2</w:t>
      </w:r>
      <w:r w:rsidR="00E22905" w:rsidRPr="00E22905">
        <w:rPr>
          <w:rFonts w:ascii="Arial" w:hAnsi="Arial" w:cs="Arial"/>
          <w:b/>
          <w:sz w:val="18"/>
          <w:szCs w:val="18"/>
        </w:rPr>
        <w:t>6</w:t>
      </w:r>
      <w:r w:rsidRPr="00E22905">
        <w:rPr>
          <w:rFonts w:ascii="Arial" w:hAnsi="Arial" w:cs="Arial"/>
          <w:b/>
          <w:sz w:val="18"/>
          <w:szCs w:val="18"/>
        </w:rPr>
        <w:t xml:space="preserve"> de </w:t>
      </w:r>
      <w:r w:rsidR="00E22905" w:rsidRPr="00E22905">
        <w:rPr>
          <w:rFonts w:ascii="Arial" w:hAnsi="Arial" w:cs="Arial"/>
          <w:b/>
          <w:sz w:val="18"/>
          <w:szCs w:val="18"/>
        </w:rPr>
        <w:t>mayo</w:t>
      </w:r>
      <w:r w:rsidR="001A41B3" w:rsidRPr="00E22905">
        <w:rPr>
          <w:rFonts w:ascii="Arial" w:hAnsi="Arial" w:cs="Arial"/>
          <w:b/>
          <w:sz w:val="18"/>
          <w:szCs w:val="18"/>
        </w:rPr>
        <w:t xml:space="preserve"> </w:t>
      </w:r>
      <w:r w:rsidR="00E87E3A" w:rsidRPr="00E22905">
        <w:rPr>
          <w:rFonts w:ascii="Arial" w:hAnsi="Arial" w:cs="Arial"/>
          <w:b/>
          <w:sz w:val="18"/>
          <w:szCs w:val="18"/>
        </w:rPr>
        <w:t>del 2025</w:t>
      </w:r>
      <w:r w:rsidRPr="00E22905">
        <w:rPr>
          <w:rFonts w:ascii="Arial" w:hAnsi="Arial" w:cs="Arial"/>
          <w:b/>
          <w:sz w:val="18"/>
          <w:szCs w:val="18"/>
        </w:rPr>
        <w:t>.</w:t>
      </w:r>
    </w:p>
    <w:p w14:paraId="22FDC3C5" w14:textId="152C96B8"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E67591">
        <w:rPr>
          <w:rFonts w:ascii="Arial" w:eastAsia="MS Mincho" w:hAnsi="Arial" w:cs="Arial"/>
          <w:b/>
          <w:sz w:val="18"/>
          <w:szCs w:val="18"/>
          <w:lang w:val="es-MX"/>
        </w:rPr>
        <w:t>15</w:t>
      </w:r>
      <w:r w:rsidR="00E55BE5" w:rsidRPr="00E22905">
        <w:rPr>
          <w:rFonts w:ascii="Arial" w:eastAsia="MS Mincho" w:hAnsi="Arial" w:cs="Arial"/>
          <w:b/>
          <w:sz w:val="18"/>
          <w:szCs w:val="18"/>
          <w:lang w:val="es-MX"/>
        </w:rPr>
        <w:t>:00 horas,</w:t>
      </w:r>
      <w:r w:rsidRPr="00E22905">
        <w:rPr>
          <w:rFonts w:ascii="Arial" w:eastAsia="MS Mincho" w:hAnsi="Arial" w:cs="Arial"/>
          <w:b/>
          <w:sz w:val="18"/>
          <w:szCs w:val="18"/>
          <w:lang w:val="es-MX"/>
        </w:rPr>
        <w:t xml:space="preserve"> el día </w:t>
      </w:r>
      <w:r w:rsidR="00E55BE5" w:rsidRPr="00E22905">
        <w:rPr>
          <w:rFonts w:ascii="Arial" w:eastAsia="MS Mincho" w:hAnsi="Arial" w:cs="Arial"/>
          <w:b/>
          <w:sz w:val="18"/>
          <w:szCs w:val="18"/>
          <w:lang w:val="es-MX"/>
        </w:rPr>
        <w:t xml:space="preserve"> </w:t>
      </w:r>
      <w:r w:rsidR="00DE4172">
        <w:rPr>
          <w:rFonts w:ascii="Arial" w:eastAsia="MS Mincho" w:hAnsi="Arial" w:cs="Arial"/>
          <w:b/>
          <w:sz w:val="18"/>
          <w:szCs w:val="18"/>
          <w:lang w:val="es-MX"/>
        </w:rPr>
        <w:t>2</w:t>
      </w:r>
      <w:r w:rsidR="00E22905" w:rsidRPr="00E22905">
        <w:rPr>
          <w:rFonts w:ascii="Arial" w:eastAsia="MS Mincho" w:hAnsi="Arial" w:cs="Arial"/>
          <w:b/>
          <w:sz w:val="18"/>
          <w:szCs w:val="18"/>
          <w:lang w:val="es-MX"/>
        </w:rPr>
        <w:t xml:space="preserve">6 </w:t>
      </w:r>
      <w:r w:rsidR="00E55BE5" w:rsidRPr="00E22905">
        <w:rPr>
          <w:rFonts w:ascii="Arial" w:eastAsia="MS Mincho" w:hAnsi="Arial" w:cs="Arial"/>
          <w:b/>
          <w:sz w:val="18"/>
          <w:szCs w:val="18"/>
          <w:lang w:val="es-MX"/>
        </w:rPr>
        <w:t xml:space="preserve">de </w:t>
      </w:r>
      <w:r w:rsidR="00E22905" w:rsidRPr="00E22905">
        <w:rPr>
          <w:rFonts w:ascii="Arial" w:hAnsi="Arial" w:cs="Arial"/>
          <w:b/>
          <w:sz w:val="18"/>
          <w:szCs w:val="18"/>
        </w:rPr>
        <w:t xml:space="preserve">Mayo </w:t>
      </w:r>
      <w:r w:rsidR="00E87E3A" w:rsidRPr="00E22905">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desechamiento).</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B45B982" w14:textId="184D3C5F" w:rsidR="00EC48E2" w:rsidRPr="00E22905" w:rsidRDefault="001E70A8" w:rsidP="00E22905">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425FE880" w14:textId="77777777" w:rsidR="00E22905" w:rsidRPr="00E22905" w:rsidRDefault="00E22905" w:rsidP="00E22905">
      <w:pPr>
        <w:pStyle w:val="Prrafodelista"/>
        <w:rPr>
          <w:sz w:val="18"/>
          <w:szCs w:val="18"/>
          <w:lang w:val="es-ES" w:eastAsia="ar-SA"/>
        </w:rPr>
      </w:pPr>
    </w:p>
    <w:p w14:paraId="4EEA0F0B" w14:textId="77777777" w:rsidR="00E22905" w:rsidRPr="00E22905" w:rsidRDefault="00E22905" w:rsidP="00E22905">
      <w:pPr>
        <w:pStyle w:val="Prrafodelista"/>
        <w:numPr>
          <w:ilvl w:val="0"/>
          <w:numId w:val="11"/>
        </w:numPr>
        <w:rPr>
          <w:sz w:val="18"/>
          <w:szCs w:val="18"/>
          <w:lang w:val="es-ES" w:eastAsia="ar-SA"/>
        </w:rPr>
      </w:pPr>
      <w:r w:rsidRPr="00E22905">
        <w:rPr>
          <w:sz w:val="18"/>
          <w:szCs w:val="18"/>
          <w:lang w:val="es-ES" w:eastAsia="ar-SA"/>
        </w:rPr>
        <w:t>Constancia de situación fiscal del mes y año en curso.</w:t>
      </w:r>
    </w:p>
    <w:p w14:paraId="39C1AAE9" w14:textId="77777777" w:rsidR="00E22905" w:rsidRPr="00E22905" w:rsidRDefault="00E22905" w:rsidP="00E22905">
      <w:pPr>
        <w:pStyle w:val="Prrafodelista"/>
        <w:numPr>
          <w:ilvl w:val="0"/>
          <w:numId w:val="11"/>
        </w:numPr>
        <w:rPr>
          <w:sz w:val="18"/>
          <w:szCs w:val="18"/>
          <w:lang w:val="es-ES" w:eastAsia="ar-SA"/>
        </w:rPr>
      </w:pPr>
      <w:r w:rsidRPr="00E22905">
        <w:rPr>
          <w:sz w:val="18"/>
          <w:szCs w:val="18"/>
          <w:lang w:val="es-ES" w:eastAsia="ar-SA"/>
        </w:rPr>
        <w:t>Comprobante de domicilio no mayor a 3 meses.</w:t>
      </w:r>
    </w:p>
    <w:p w14:paraId="7EB4E626" w14:textId="77777777" w:rsidR="00E22905" w:rsidRPr="00E22905" w:rsidRDefault="00E22905" w:rsidP="00E22905">
      <w:pPr>
        <w:pStyle w:val="Prrafodelista"/>
        <w:suppressAutoHyphens/>
        <w:jc w:val="both"/>
        <w:rPr>
          <w:sz w:val="18"/>
          <w:szCs w:val="18"/>
          <w:lang w:val="es-ES" w:eastAsia="ar-SA"/>
        </w:rPr>
      </w:pP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EAEA6DF" w14:textId="77777777" w:rsidR="001E70A8" w:rsidRPr="00A45A8F" w:rsidRDefault="001E70A8" w:rsidP="001E70A8">
      <w:pPr>
        <w:jc w:val="both"/>
        <w:rPr>
          <w:rFonts w:ascii="Arial" w:hAnsi="Arial" w:cs="Arial"/>
          <w:sz w:val="18"/>
          <w:szCs w:val="18"/>
          <w:lang w:val="es-MX"/>
        </w:rPr>
      </w:pPr>
    </w:p>
    <w:p w14:paraId="6F2E56A7" w14:textId="065547CE"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r w:rsidR="00CB7344">
        <w:rPr>
          <w:rFonts w:ascii="Arial" w:hAnsi="Arial" w:cs="Arial"/>
          <w:sz w:val="18"/>
          <w:szCs w:val="18"/>
        </w:rPr>
        <w:t>Compras MX</w:t>
      </w:r>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E22905" w:rsidRDefault="001E70A8" w:rsidP="001E70A8">
      <w:pPr>
        <w:pStyle w:val="Sangra2detindependiente"/>
        <w:spacing w:line="240" w:lineRule="auto"/>
        <w:ind w:left="0"/>
        <w:jc w:val="both"/>
        <w:rPr>
          <w:rFonts w:ascii="Arial" w:hAnsi="Arial" w:cs="Arial"/>
          <w:sz w:val="18"/>
          <w:szCs w:val="18"/>
        </w:rPr>
      </w:pPr>
      <w:r w:rsidRPr="00E22905">
        <w:rPr>
          <w:rFonts w:ascii="Arial" w:hAnsi="Arial" w:cs="Arial"/>
          <w:sz w:val="18"/>
          <w:szCs w:val="18"/>
        </w:rPr>
        <w:t xml:space="preserve">El proveedor deberá entregar junto con los bienes una garantía de fabricación con cobertura amplia a </w:t>
      </w:r>
      <w:r w:rsidRPr="00E22905">
        <w:rPr>
          <w:rFonts w:ascii="Arial" w:hAnsi="Arial" w:cs="Arial"/>
          <w:i/>
          <w:sz w:val="18"/>
          <w:szCs w:val="18"/>
        </w:rPr>
        <w:t>12 meses</w:t>
      </w:r>
      <w:r w:rsidRPr="00E22905">
        <w:rPr>
          <w:rFonts w:ascii="Arial" w:hAnsi="Arial" w:cs="Arial"/>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ADD4F4" w14:textId="77777777" w:rsidR="0083307A" w:rsidRPr="00E22905" w:rsidRDefault="0083307A" w:rsidP="00E22905">
      <w:pPr>
        <w:pStyle w:val="Prrafodelista"/>
        <w:autoSpaceDE w:val="0"/>
        <w:autoSpaceDN w:val="0"/>
        <w:adjustRightInd w:val="0"/>
        <w:spacing w:after="0" w:line="240" w:lineRule="auto"/>
        <w:ind w:left="0"/>
        <w:jc w:val="both"/>
        <w:rPr>
          <w:rFonts w:ascii="Arial" w:hAnsi="Arial" w:cs="Arial"/>
          <w:b/>
          <w:sz w:val="18"/>
          <w:szCs w:val="18"/>
        </w:rPr>
      </w:pPr>
      <w:r w:rsidRPr="00E22905">
        <w:rPr>
          <w:rFonts w:ascii="Arial" w:hAnsi="Arial" w:cs="Arial"/>
          <w:sz w:val="18"/>
          <w:szCs w:val="18"/>
        </w:rPr>
        <w:t>Al momento de la entrega de los bienes</w:t>
      </w:r>
      <w:r w:rsidRPr="00E22905">
        <w:rPr>
          <w:rFonts w:ascii="Arial" w:hAnsi="Arial" w:cs="Arial"/>
          <w:b/>
          <w:sz w:val="18"/>
          <w:szCs w:val="18"/>
        </w:rPr>
        <w:t>:</w:t>
      </w:r>
    </w:p>
    <w:p w14:paraId="65CF8196"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Cartas Garantía:</w:t>
      </w:r>
      <w:r w:rsidRPr="00E22905">
        <w:rPr>
          <w:rFonts w:ascii="Arial" w:hAnsi="Arial" w:cs="Arial"/>
          <w:sz w:val="18"/>
          <w:szCs w:val="18"/>
        </w:rPr>
        <w:t xml:space="preserve"> </w:t>
      </w:r>
    </w:p>
    <w:p w14:paraId="64AB3560" w14:textId="77777777" w:rsidR="0083307A" w:rsidRPr="00E22905" w:rsidRDefault="0083307A" w:rsidP="00E22905">
      <w:pPr>
        <w:pStyle w:val="Prrafodelista"/>
        <w:numPr>
          <w:ilvl w:val="0"/>
          <w:numId w:val="18"/>
        </w:numPr>
        <w:autoSpaceDE w:val="0"/>
        <w:autoSpaceDN w:val="0"/>
        <w:adjustRightInd w:val="0"/>
        <w:spacing w:after="0" w:line="240" w:lineRule="auto"/>
        <w:ind w:left="0"/>
        <w:jc w:val="both"/>
        <w:rPr>
          <w:rFonts w:ascii="Arial" w:hAnsi="Arial" w:cs="Arial"/>
          <w:sz w:val="18"/>
          <w:szCs w:val="18"/>
        </w:rPr>
      </w:pPr>
      <w:r w:rsidRPr="00E22905">
        <w:rPr>
          <w:rFonts w:ascii="Arial" w:hAnsi="Arial" w:cs="Arial"/>
          <w:sz w:val="18"/>
          <w:szCs w:val="18"/>
        </w:rPr>
        <w:t>El proveedor deberá presentar escrito, preferentemente en papel membretado, mediante el cual, por su propio derecho o a través de su representante legal, garantice que la calidad de los insumos que entrega y en caso de detectar defectos calidad, el proveedor se compromete al canje de los mismos.</w:t>
      </w:r>
    </w:p>
    <w:p w14:paraId="172B9492" w14:textId="77777777" w:rsidR="0083307A" w:rsidRPr="00E22905" w:rsidRDefault="0083307A" w:rsidP="00E22905">
      <w:pPr>
        <w:pStyle w:val="Prrafodelista"/>
        <w:numPr>
          <w:ilvl w:val="0"/>
          <w:numId w:val="18"/>
        </w:numPr>
        <w:autoSpaceDE w:val="0"/>
        <w:autoSpaceDN w:val="0"/>
        <w:adjustRightInd w:val="0"/>
        <w:spacing w:after="0" w:line="240" w:lineRule="auto"/>
        <w:ind w:left="0"/>
        <w:jc w:val="both"/>
        <w:rPr>
          <w:rFonts w:ascii="Arial" w:hAnsi="Arial" w:cs="Arial"/>
          <w:sz w:val="18"/>
          <w:szCs w:val="18"/>
        </w:rPr>
      </w:pPr>
      <w:r w:rsidRPr="00E22905">
        <w:rPr>
          <w:rFonts w:ascii="Arial" w:hAnsi="Arial" w:cs="Arial"/>
          <w:sz w:val="18"/>
          <w:szCs w:val="18"/>
        </w:rPr>
        <w:t xml:space="preserve"> 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7DEF5FB4"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Registro Sanitario</w:t>
      </w:r>
      <w:r w:rsidRPr="00E22905">
        <w:rPr>
          <w:rFonts w:ascii="Arial" w:hAnsi="Arial" w:cs="Arial"/>
          <w:sz w:val="18"/>
          <w:szCs w:val="18"/>
        </w:rPr>
        <w:t>: El proveedor deberá incluir copia simple del Registro Sanitario Vigente, emitido por la Comisión Federal Contra Riesgos Sanitarios (COFEPRIS).</w:t>
      </w:r>
    </w:p>
    <w:p w14:paraId="63378535"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 xml:space="preserve">Certificado Analítico: </w:t>
      </w:r>
      <w:r w:rsidRPr="00E22905">
        <w:rPr>
          <w:rFonts w:ascii="Arial" w:hAnsi="Arial" w:cs="Arial"/>
          <w:sz w:val="18"/>
          <w:szCs w:val="18"/>
        </w:rPr>
        <w:t>Se deberá integrar copia</w:t>
      </w:r>
      <w:r w:rsidRPr="00E22905">
        <w:rPr>
          <w:rFonts w:ascii="Arial" w:hAnsi="Arial" w:cs="Arial"/>
          <w:b/>
          <w:sz w:val="18"/>
          <w:szCs w:val="18"/>
        </w:rPr>
        <w:t xml:space="preserve"> </w:t>
      </w:r>
      <w:r w:rsidRPr="00E22905">
        <w:rPr>
          <w:rFonts w:ascii="Arial" w:hAnsi="Arial" w:cs="Arial"/>
          <w:sz w:val="18"/>
          <w:szCs w:val="18"/>
        </w:rPr>
        <w:t xml:space="preserve">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 </w:t>
      </w:r>
    </w:p>
    <w:p w14:paraId="63FE362B" w14:textId="77777777" w:rsidR="0083307A" w:rsidRPr="00E22905" w:rsidRDefault="0083307A" w:rsidP="00E22905">
      <w:pPr>
        <w:numPr>
          <w:ilvl w:val="0"/>
          <w:numId w:val="17"/>
        </w:numPr>
        <w:ind w:left="0"/>
        <w:rPr>
          <w:rFonts w:ascii="Arial" w:eastAsia="Calibri" w:hAnsi="Arial" w:cs="Arial"/>
          <w:sz w:val="18"/>
          <w:szCs w:val="18"/>
          <w:lang w:val="es-MX"/>
        </w:rPr>
      </w:pPr>
      <w:r w:rsidRPr="00E22905">
        <w:rPr>
          <w:rFonts w:ascii="Arial" w:eastAsia="Calibri" w:hAnsi="Arial" w:cs="Arial"/>
          <w:b/>
          <w:sz w:val="18"/>
          <w:szCs w:val="18"/>
          <w:lang w:val="es-MX"/>
        </w:rPr>
        <w:t>En caso de distribuidores</w:t>
      </w:r>
      <w:r w:rsidRPr="00E22905">
        <w:rPr>
          <w:rFonts w:ascii="Arial" w:eastAsia="Calibri" w:hAnsi="Arial" w:cs="Arial"/>
          <w:sz w:val="18"/>
          <w:szCs w:val="18"/>
          <w:lang w:val="es-MX"/>
        </w:rPr>
        <w:t xml:space="preserve">, deberán enviar carta del fabricante, en papel membretado y con firma autógrafa del mismo, en la que éste manifieste respaldar la propuesta técnica que se presente, por la(s) clave(s) en la(s) que participe, indicando el número de la invitación, conforme al Anexo Número 5 (cinco), del presente Oficio de Invitación. </w:t>
      </w:r>
    </w:p>
    <w:p w14:paraId="098E84EF" w14:textId="77777777" w:rsidR="0083307A" w:rsidRPr="00A45A8F" w:rsidRDefault="0083307A" w:rsidP="001E70A8">
      <w:pPr>
        <w:pStyle w:val="Sangra2detindependiente"/>
        <w:spacing w:line="240" w:lineRule="auto"/>
        <w:ind w:left="0"/>
        <w:jc w:val="both"/>
        <w:rPr>
          <w:rFonts w:cs="Arial"/>
          <w:sz w:val="18"/>
          <w:szCs w:val="18"/>
        </w:rPr>
      </w:pP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lastRenderedPageBreak/>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5ABBE36E"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r w:rsidR="00CB7344">
        <w:rPr>
          <w:rFonts w:ascii="Arial" w:hAnsi="Arial" w:cs="Arial"/>
          <w:sz w:val="18"/>
          <w:szCs w:val="18"/>
        </w:rPr>
        <w:t>Compras MX</w:t>
      </w:r>
      <w:r w:rsidRPr="002B5A16">
        <w:rPr>
          <w:rFonts w:ascii="Arial" w:hAnsi="Arial" w:cs="Arial"/>
          <w:bCs/>
          <w:sz w:val="18"/>
          <w:szCs w:val="18"/>
        </w:rPr>
        <w:t>.</w:t>
      </w:r>
    </w:p>
    <w:p w14:paraId="247D31AD" w14:textId="2142BE00"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 xml:space="preserve">te electrónico de </w:t>
      </w:r>
      <w:r w:rsidR="00CB7344">
        <w:rPr>
          <w:rFonts w:ascii="Arial" w:hAnsi="Arial" w:cs="Arial"/>
          <w:sz w:val="18"/>
          <w:szCs w:val="18"/>
        </w:rPr>
        <w:t>Compras MX</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70D6BA91" w14:textId="77777777" w:rsidR="0083307A" w:rsidRPr="008D5A31" w:rsidRDefault="0083307A" w:rsidP="0083307A">
      <w:pPr>
        <w:pStyle w:val="Prrafodelista"/>
        <w:spacing w:after="0" w:line="240" w:lineRule="auto"/>
        <w:ind w:left="-397" w:right="-397"/>
        <w:jc w:val="both"/>
        <w:rPr>
          <w:rFonts w:ascii="Arial" w:hAnsi="Arial" w:cs="Arial"/>
          <w:sz w:val="19"/>
          <w:szCs w:val="19"/>
        </w:rPr>
      </w:pPr>
      <w:r>
        <w:rPr>
          <w:rFonts w:ascii="Arial" w:eastAsia="Times New Roman" w:hAnsi="Arial" w:cs="Arial"/>
          <w:sz w:val="18"/>
          <w:szCs w:val="18"/>
          <w:lang w:val="es-ES" w:eastAsia="es-ES"/>
        </w:rPr>
        <w:t xml:space="preserve"> </w:t>
      </w:r>
      <w:r w:rsidRPr="008D5A31">
        <w:rPr>
          <w:rFonts w:ascii="Arial" w:hAnsi="Arial" w:cs="Arial"/>
          <w:sz w:val="19"/>
          <w:szCs w:val="19"/>
        </w:rPr>
        <w:t>Las condiciones de entrega son las que a continuación se enlistan:</w:t>
      </w:r>
    </w:p>
    <w:p w14:paraId="78C04F6C" w14:textId="77777777" w:rsidR="0083307A" w:rsidRPr="008D5A31" w:rsidRDefault="0083307A" w:rsidP="0083307A">
      <w:pPr>
        <w:pStyle w:val="Prrafodelista"/>
        <w:tabs>
          <w:tab w:val="left" w:pos="426"/>
          <w:tab w:val="left" w:pos="615"/>
          <w:tab w:val="left" w:pos="1752"/>
          <w:tab w:val="left" w:pos="2312"/>
          <w:tab w:val="left" w:pos="2872"/>
        </w:tabs>
        <w:spacing w:after="0" w:line="240" w:lineRule="auto"/>
        <w:ind w:left="-397" w:right="-397"/>
        <w:jc w:val="both"/>
        <w:rPr>
          <w:rFonts w:ascii="Arial" w:hAnsi="Arial" w:cs="Arial"/>
          <w:sz w:val="19"/>
          <w:szCs w:val="19"/>
        </w:rPr>
      </w:pPr>
    </w:p>
    <w:p w14:paraId="04B3E118"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Los bienes adjudicados deberán ser entregados a más tardar dos días hábiles posterior al fallo en el Almacén de la Unidad Médica Hospitalaria No. 14, en el domicilio de Calzada Revolución 2735, Colonia Jardines de la Paz, Código Postal 44860 Guadalajara, Jalisco, en el Horario de 8:00 a 14:00 horas De lunes a viernes.</w:t>
      </w:r>
    </w:p>
    <w:p w14:paraId="03CEF6C4"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El proveedor deberá entregar el 100% de los bienes adjudicado en una sola exhibición.</w:t>
      </w:r>
    </w:p>
    <w:p w14:paraId="35DD74A7"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 xml:space="preserve">Los proveedores podrán entregar los bienes a más tardar dos días hábiles </w:t>
      </w:r>
      <w:proofErr w:type="gramStart"/>
      <w:r w:rsidRPr="00A2016D">
        <w:rPr>
          <w:rFonts w:ascii="Arial" w:hAnsi="Arial" w:cs="Arial"/>
          <w:sz w:val="19"/>
          <w:szCs w:val="19"/>
        </w:rPr>
        <w:t>posterior</w:t>
      </w:r>
      <w:proofErr w:type="gramEnd"/>
      <w:r w:rsidRPr="00A2016D">
        <w:rPr>
          <w:rFonts w:ascii="Arial" w:hAnsi="Arial" w:cs="Arial"/>
          <w:sz w:val="19"/>
          <w:szCs w:val="19"/>
        </w:rPr>
        <w:t xml:space="preserve"> al fallo.</w:t>
      </w:r>
    </w:p>
    <w:p w14:paraId="0BD0EE08" w14:textId="77777777" w:rsidR="0083307A" w:rsidRDefault="0083307A" w:rsidP="0083307A">
      <w:pPr>
        <w:pStyle w:val="Prrafodelista"/>
        <w:spacing w:after="0" w:line="240" w:lineRule="auto"/>
        <w:ind w:left="-397" w:right="-397"/>
        <w:jc w:val="both"/>
        <w:rPr>
          <w:rFonts w:ascii="Arial" w:hAnsi="Arial" w:cs="Arial"/>
          <w:sz w:val="19"/>
          <w:szCs w:val="19"/>
        </w:rPr>
      </w:pPr>
      <w:r w:rsidRPr="00A2016D">
        <w:rPr>
          <w:rFonts w:ascii="Arial" w:hAnsi="Arial" w:cs="Arial"/>
          <w:sz w:val="19"/>
          <w:szCs w:val="19"/>
        </w:rPr>
        <w:t>La transportación de los bienes, las maniobras de carga y descarga en el andén del lugar de entrega, así como el aseguramiento de los mismos, serán a cargo del proveedor, hasta que éstos sean recibidos de conformidad por el instituto.</w:t>
      </w:r>
    </w:p>
    <w:p w14:paraId="694867B2" w14:textId="77777777" w:rsidR="0083307A" w:rsidRPr="008D5A31" w:rsidRDefault="0083307A" w:rsidP="0083307A">
      <w:pPr>
        <w:pStyle w:val="Prrafodelista"/>
        <w:spacing w:after="0" w:line="240" w:lineRule="auto"/>
        <w:ind w:left="-397" w:right="-397"/>
        <w:jc w:val="both"/>
        <w:rPr>
          <w:rFonts w:ascii="Arial" w:hAnsi="Arial" w:cs="Arial"/>
          <w:sz w:val="19"/>
          <w:szCs w:val="19"/>
        </w:rPr>
      </w:pPr>
    </w:p>
    <w:p w14:paraId="19BEF9BF" w14:textId="77777777" w:rsidR="0083307A" w:rsidRPr="008D5A31" w:rsidRDefault="0083307A" w:rsidP="0083307A">
      <w:pPr>
        <w:pStyle w:val="Prrafodelista"/>
        <w:numPr>
          <w:ilvl w:val="0"/>
          <w:numId w:val="19"/>
        </w:numPr>
        <w:spacing w:after="0" w:line="240" w:lineRule="auto"/>
        <w:ind w:left="-397" w:right="-397" w:firstLine="0"/>
        <w:jc w:val="both"/>
        <w:rPr>
          <w:rFonts w:ascii="Arial" w:hAnsi="Arial" w:cs="Arial"/>
          <w:sz w:val="19"/>
          <w:szCs w:val="19"/>
        </w:rPr>
      </w:pPr>
      <w:r w:rsidRPr="008D5A31">
        <w:rPr>
          <w:rFonts w:ascii="Arial" w:hAnsi="Arial" w:cs="Arial"/>
          <w:sz w:val="19"/>
          <w:szCs w:val="19"/>
        </w:rPr>
        <w:t>Las maniobras de carga y descarga en el andén de recepción, son responsabilidad del proveedor.</w:t>
      </w:r>
    </w:p>
    <w:p w14:paraId="4E7FE54F" w14:textId="77777777" w:rsidR="0083307A" w:rsidRPr="008D5A31" w:rsidRDefault="0083307A" w:rsidP="0083307A">
      <w:pPr>
        <w:pStyle w:val="Prrafodelista"/>
        <w:spacing w:after="0" w:line="240" w:lineRule="auto"/>
        <w:ind w:left="-397" w:right="-397"/>
        <w:jc w:val="both"/>
        <w:rPr>
          <w:rFonts w:ascii="Arial" w:hAnsi="Arial" w:cs="Arial"/>
          <w:sz w:val="19"/>
          <w:szCs w:val="19"/>
        </w:rPr>
      </w:pPr>
    </w:p>
    <w:p w14:paraId="1B8CE822" w14:textId="77777777" w:rsidR="0083307A" w:rsidRPr="008D5A31" w:rsidRDefault="0083307A" w:rsidP="0083307A">
      <w:pPr>
        <w:pStyle w:val="Prrafodelista"/>
        <w:numPr>
          <w:ilvl w:val="0"/>
          <w:numId w:val="19"/>
        </w:numPr>
        <w:spacing w:after="0" w:line="240" w:lineRule="auto"/>
        <w:ind w:left="-397" w:right="-397" w:firstLine="0"/>
        <w:jc w:val="both"/>
        <w:rPr>
          <w:rFonts w:ascii="Arial" w:hAnsi="Arial" w:cs="Arial"/>
          <w:sz w:val="19"/>
          <w:szCs w:val="19"/>
        </w:rPr>
      </w:pPr>
      <w:r w:rsidRPr="008D5A31">
        <w:rPr>
          <w:rFonts w:ascii="Arial" w:hAnsi="Arial" w:cs="Arial"/>
          <w:sz w:val="19"/>
          <w:szCs w:val="19"/>
        </w:rPr>
        <w:t>El proveedor deberá anunciar su llegada al encargado de altas, entregando para su revisión la documentación siguiente:</w:t>
      </w:r>
    </w:p>
    <w:p w14:paraId="07B2316E" w14:textId="77777777" w:rsidR="0083307A" w:rsidRPr="008D5A31" w:rsidRDefault="0083307A" w:rsidP="0083307A">
      <w:pPr>
        <w:pStyle w:val="Prrafodelista"/>
        <w:spacing w:after="0" w:line="240" w:lineRule="auto"/>
        <w:ind w:left="0" w:right="-397"/>
        <w:jc w:val="both"/>
        <w:rPr>
          <w:rFonts w:ascii="Arial" w:hAnsi="Arial" w:cs="Arial"/>
          <w:i/>
          <w:sz w:val="19"/>
          <w:szCs w:val="19"/>
        </w:rPr>
      </w:pPr>
    </w:p>
    <w:p w14:paraId="5A1EEA9A" w14:textId="77777777" w:rsidR="0083307A" w:rsidRPr="008D5A31" w:rsidRDefault="0083307A" w:rsidP="0083307A">
      <w:pPr>
        <w:pStyle w:val="Prrafodelista"/>
        <w:numPr>
          <w:ilvl w:val="0"/>
          <w:numId w:val="20"/>
        </w:numPr>
        <w:spacing w:after="0" w:line="240" w:lineRule="auto"/>
        <w:ind w:left="-397" w:right="-397" w:firstLine="0"/>
        <w:jc w:val="both"/>
        <w:rPr>
          <w:rFonts w:ascii="Arial" w:hAnsi="Arial" w:cs="Arial"/>
          <w:i/>
          <w:sz w:val="19"/>
          <w:szCs w:val="19"/>
        </w:rPr>
      </w:pPr>
      <w:r w:rsidRPr="008D5A31">
        <w:rPr>
          <w:rFonts w:ascii="Arial" w:hAnsi="Arial" w:cs="Arial"/>
          <w:sz w:val="19"/>
          <w:szCs w:val="19"/>
          <w:u w:val="single"/>
        </w:rPr>
        <w:t>Registro Sanitario vigente</w:t>
      </w:r>
      <w:r w:rsidRPr="008D5A31">
        <w:rPr>
          <w:rFonts w:ascii="Arial" w:hAnsi="Arial" w:cs="Arial"/>
          <w:sz w:val="19"/>
          <w:szCs w:val="19"/>
        </w:rPr>
        <w:t xml:space="preserve">: </w:t>
      </w:r>
      <w:r w:rsidRPr="008D5A31">
        <w:rPr>
          <w:rFonts w:ascii="Arial" w:hAnsi="Arial" w:cs="Arial"/>
          <w:sz w:val="18"/>
          <w:szCs w:val="18"/>
        </w:rPr>
        <w:t xml:space="preserve">Copia legible del Registro Sanitario vigente (ANVERSO Y REVERSO) expedido por la COFEPRIS, conforme a lo establecido en el artículo 376 de la Ley General de Salud (vigencia de 5 años). </w:t>
      </w:r>
    </w:p>
    <w:p w14:paraId="6F1B0523" w14:textId="77777777" w:rsidR="0083307A" w:rsidRPr="008D5A31" w:rsidRDefault="0083307A" w:rsidP="0083307A">
      <w:pPr>
        <w:pStyle w:val="Prrafodelista"/>
        <w:ind w:left="-397" w:right="-397"/>
        <w:rPr>
          <w:rFonts w:ascii="Arial" w:hAnsi="Arial" w:cs="Arial"/>
          <w:i/>
          <w:sz w:val="19"/>
          <w:szCs w:val="19"/>
        </w:rPr>
      </w:pPr>
    </w:p>
    <w:p w14:paraId="7AA0FED5" w14:textId="77777777" w:rsidR="0083307A" w:rsidRPr="008D5A31" w:rsidRDefault="0083307A" w:rsidP="0083307A">
      <w:pPr>
        <w:pStyle w:val="Prrafodelista"/>
        <w:spacing w:after="0" w:line="240" w:lineRule="auto"/>
        <w:ind w:left="-397" w:right="-397"/>
        <w:jc w:val="both"/>
        <w:rPr>
          <w:rFonts w:ascii="Arial" w:hAnsi="Arial" w:cs="Arial"/>
          <w:i/>
          <w:sz w:val="19"/>
          <w:szCs w:val="19"/>
        </w:rPr>
      </w:pPr>
      <w:r w:rsidRPr="008D5A31">
        <w:rPr>
          <w:rFonts w:ascii="Arial" w:hAnsi="Arial" w:cs="Arial"/>
          <w:i/>
          <w:sz w:val="19"/>
          <w:szCs w:val="19"/>
        </w:rPr>
        <w:t xml:space="preserve"> </w:t>
      </w:r>
      <w:r w:rsidRPr="008D5A31">
        <w:rPr>
          <w:rFonts w:ascii="Arial" w:hAnsi="Arial" w:cs="Arial"/>
          <w:b/>
          <w:bCs/>
          <w:sz w:val="18"/>
          <w:szCs w:val="18"/>
        </w:rPr>
        <w:t>En caso de que el Registro Sanitario no se encuentre dentro del periodo de vigencia de 5 años, conforme al artículo 376 de la Ley General de Salud, deberá presentar:</w:t>
      </w:r>
    </w:p>
    <w:p w14:paraId="0D5D199C" w14:textId="77777777" w:rsidR="0083307A" w:rsidRPr="008D5A31" w:rsidRDefault="0083307A" w:rsidP="0083307A">
      <w:pPr>
        <w:ind w:right="12"/>
        <w:jc w:val="both"/>
        <w:rPr>
          <w:rFonts w:ascii="Arial" w:hAnsi="Arial" w:cs="Arial"/>
          <w:sz w:val="18"/>
          <w:szCs w:val="18"/>
        </w:rPr>
      </w:pPr>
    </w:p>
    <w:p w14:paraId="47AC1C43" w14:textId="77777777" w:rsidR="0083307A" w:rsidRPr="008D5A31" w:rsidRDefault="0083307A" w:rsidP="0083307A">
      <w:pPr>
        <w:pStyle w:val="Prrafodelista"/>
        <w:numPr>
          <w:ilvl w:val="0"/>
          <w:numId w:val="21"/>
        </w:numPr>
        <w:ind w:left="-57" w:right="12" w:firstLine="0"/>
        <w:jc w:val="both"/>
        <w:rPr>
          <w:rFonts w:ascii="Arial" w:hAnsi="Arial" w:cs="Arial"/>
          <w:sz w:val="18"/>
          <w:szCs w:val="18"/>
        </w:rPr>
      </w:pPr>
      <w:r w:rsidRPr="008D5A31">
        <w:rPr>
          <w:rFonts w:ascii="Arial" w:hAnsi="Arial" w:cs="Arial"/>
          <w:sz w:val="18"/>
          <w:szCs w:val="18"/>
        </w:rPr>
        <w:t>Copia simple del Registro Sanitario sometido a prórroga. “COMPLETO”</w:t>
      </w:r>
    </w:p>
    <w:p w14:paraId="30C4FEB9" w14:textId="77777777" w:rsidR="0083307A" w:rsidRPr="008D5A31" w:rsidRDefault="0083307A" w:rsidP="0083307A">
      <w:pPr>
        <w:pStyle w:val="Prrafodelista"/>
        <w:numPr>
          <w:ilvl w:val="0"/>
          <w:numId w:val="21"/>
        </w:numPr>
        <w:ind w:left="-57" w:right="12" w:firstLine="0"/>
        <w:jc w:val="both"/>
        <w:rPr>
          <w:rFonts w:ascii="Arial" w:hAnsi="Arial" w:cs="Arial"/>
          <w:sz w:val="18"/>
          <w:szCs w:val="18"/>
        </w:rPr>
      </w:pPr>
      <w:r w:rsidRPr="008D5A31">
        <w:rPr>
          <w:rFonts w:ascii="Arial" w:hAnsi="Arial" w:cs="Arial"/>
          <w:sz w:val="18"/>
          <w:szCs w:val="18"/>
        </w:rPr>
        <w:t xml:space="preserve">Copia simple del acuse de recibo del trámite de prórroga del Registro Sanitario  presentado ante la COFEPRIS, actualizado. Los trámites sometidos previo al ejercicio 2022, deberán incluir Formato de Autorización. Dicho trámite será verificado en la página de COFEPRIS y en caso de que el resultado sea “Entregado” deberá presentar la resolución emitida por dicha autoridad. </w:t>
      </w:r>
    </w:p>
    <w:p w14:paraId="106CC485" w14:textId="77777777" w:rsidR="0083307A" w:rsidRPr="008D5A31" w:rsidRDefault="0083307A" w:rsidP="0083307A">
      <w:pPr>
        <w:pStyle w:val="Prrafodelista"/>
        <w:numPr>
          <w:ilvl w:val="0"/>
          <w:numId w:val="21"/>
        </w:numPr>
        <w:ind w:left="-57" w:firstLine="0"/>
        <w:jc w:val="both"/>
        <w:rPr>
          <w:rFonts w:ascii="Arial" w:hAnsi="Arial" w:cs="Arial"/>
          <w:i/>
          <w:sz w:val="19"/>
          <w:szCs w:val="19"/>
        </w:rPr>
      </w:pPr>
      <w:r w:rsidRPr="008D5A31">
        <w:rPr>
          <w:rFonts w:ascii="Arial" w:hAnsi="Arial" w:cs="Arial"/>
          <w:sz w:val="18"/>
          <w:szCs w:val="18"/>
        </w:rPr>
        <w:t>Para los casos en los que el registro se encuentre sometido a prórroga sin una resolución y en caso de no presentar Formato de Autorización indicado en el punto número 2, se podrá presentar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7BBD678" w14:textId="77777777" w:rsidR="0083307A" w:rsidRPr="008D5A31" w:rsidRDefault="0083307A" w:rsidP="0083307A">
      <w:pPr>
        <w:pStyle w:val="Prrafodelista"/>
        <w:ind w:left="-57"/>
        <w:jc w:val="both"/>
        <w:rPr>
          <w:rFonts w:ascii="Arial" w:hAnsi="Arial" w:cs="Arial"/>
          <w:i/>
          <w:sz w:val="19"/>
          <w:szCs w:val="19"/>
        </w:rPr>
      </w:pPr>
    </w:p>
    <w:p w14:paraId="3C1F7D41"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i/>
          <w:sz w:val="19"/>
          <w:szCs w:val="19"/>
        </w:rPr>
      </w:pPr>
      <w:r w:rsidRPr="008D5A31">
        <w:rPr>
          <w:rFonts w:ascii="Arial" w:hAnsi="Arial" w:cs="Arial"/>
          <w:sz w:val="19"/>
          <w:szCs w:val="19"/>
          <w:u w:val="single"/>
        </w:rPr>
        <w:t xml:space="preserve">Certificado analítico: </w:t>
      </w:r>
      <w:r w:rsidRPr="008D5A31">
        <w:rPr>
          <w:rFonts w:ascii="Arial" w:hAnsi="Arial" w:cs="Arial"/>
          <w:sz w:val="19"/>
          <w:szCs w:val="19"/>
        </w:rPr>
        <w:t xml:space="preserve">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8D5A31">
        <w:rPr>
          <w:rFonts w:ascii="Arial" w:hAnsi="Arial" w:cs="Arial"/>
          <w:sz w:val="19"/>
          <w:szCs w:val="19"/>
        </w:rPr>
        <w:t>boletinados</w:t>
      </w:r>
      <w:proofErr w:type="spellEnd"/>
      <w:r w:rsidRPr="008D5A31">
        <w:rPr>
          <w:rFonts w:ascii="Arial" w:hAnsi="Arial" w:cs="Arial"/>
          <w:sz w:val="19"/>
          <w:szCs w:val="19"/>
        </w:rPr>
        <w:t xml:space="preserve"> por la Coordinación de Calidad de Insumos y Laboratorios Especializado (CCILE).</w:t>
      </w:r>
    </w:p>
    <w:p w14:paraId="1F150147" w14:textId="77777777" w:rsidR="0083307A" w:rsidRPr="008D5A31" w:rsidRDefault="0083307A" w:rsidP="0083307A">
      <w:pPr>
        <w:ind w:left="-397" w:right="-397"/>
        <w:jc w:val="both"/>
        <w:rPr>
          <w:rFonts w:ascii="Arial" w:hAnsi="Arial" w:cs="Arial"/>
          <w:i/>
          <w:sz w:val="19"/>
          <w:szCs w:val="19"/>
        </w:rPr>
      </w:pPr>
    </w:p>
    <w:p w14:paraId="03DED265"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rPr>
        <w:lastRenderedPageBreak/>
        <w:t>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w:t>
      </w:r>
      <w:r w:rsidRPr="008D5A31">
        <w:rPr>
          <w:rFonts w:ascii="Arial" w:eastAsia="Times New Roman" w:hAnsi="Arial" w:cs="Arial"/>
          <w:sz w:val="19"/>
          <w:szCs w:val="19"/>
          <w:lang w:eastAsia="es-MX"/>
        </w:rPr>
        <w:t>.</w:t>
      </w:r>
      <w:r w:rsidRPr="008D5A31">
        <w:rPr>
          <w:rFonts w:ascii="Arial" w:hAnsi="Arial" w:cs="Arial"/>
          <w:sz w:val="19"/>
          <w:szCs w:val="19"/>
        </w:rPr>
        <w:t xml:space="preserve"> </w:t>
      </w:r>
    </w:p>
    <w:p w14:paraId="163A18C1" w14:textId="77777777" w:rsidR="0083307A" w:rsidRPr="008D5A31" w:rsidRDefault="0083307A" w:rsidP="0083307A">
      <w:pPr>
        <w:ind w:left="-397" w:right="-397"/>
        <w:jc w:val="both"/>
        <w:rPr>
          <w:rFonts w:ascii="Arial" w:hAnsi="Arial" w:cs="Arial"/>
          <w:sz w:val="19"/>
          <w:szCs w:val="19"/>
        </w:rPr>
      </w:pPr>
    </w:p>
    <w:p w14:paraId="4DD45018"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u w:val="single"/>
        </w:rPr>
        <w:t>Carta Garantía</w:t>
      </w:r>
      <w:r w:rsidRPr="008D5A31">
        <w:rPr>
          <w:rFonts w:ascii="Arial" w:hAnsi="Arial" w:cs="Arial"/>
          <w:sz w:val="19"/>
          <w:szCs w:val="19"/>
        </w:rPr>
        <w:t xml:space="preserve">: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65119A75" w14:textId="77777777" w:rsidR="0083307A" w:rsidRPr="008D5A31" w:rsidRDefault="0083307A" w:rsidP="0083307A">
      <w:pPr>
        <w:ind w:left="-397" w:right="-397"/>
        <w:jc w:val="both"/>
        <w:rPr>
          <w:rFonts w:ascii="Arial" w:hAnsi="Arial" w:cs="Arial"/>
          <w:sz w:val="19"/>
          <w:szCs w:val="19"/>
        </w:rPr>
      </w:pPr>
    </w:p>
    <w:p w14:paraId="6F5F705D"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rPr>
        <w:t xml:space="preserve">Se podrá considerar una caducidad menor a 9 meses, cuando se acredite que los bienes tienen una vida útil menor a partir de la fecha de fabricación. </w:t>
      </w:r>
    </w:p>
    <w:p w14:paraId="3B669546" w14:textId="77777777" w:rsidR="0083307A" w:rsidRPr="008D5A31" w:rsidRDefault="0083307A" w:rsidP="0083307A">
      <w:pPr>
        <w:ind w:right="-397"/>
        <w:jc w:val="both"/>
        <w:rPr>
          <w:rFonts w:ascii="Arial" w:hAnsi="Arial" w:cs="Arial"/>
          <w:sz w:val="19"/>
          <w:szCs w:val="19"/>
          <w:lang w:val="es-MX"/>
        </w:rPr>
      </w:pPr>
    </w:p>
    <w:p w14:paraId="69797113" w14:textId="77777777" w:rsidR="0083307A" w:rsidRPr="00A62D59" w:rsidRDefault="0083307A" w:rsidP="0083307A">
      <w:pPr>
        <w:ind w:left="-397" w:right="-397"/>
        <w:jc w:val="both"/>
        <w:rPr>
          <w:rFonts w:ascii="Arial" w:hAnsi="Arial" w:cs="Arial"/>
          <w:sz w:val="19"/>
          <w:szCs w:val="19"/>
          <w:lang w:val="es-MX"/>
        </w:rPr>
      </w:pPr>
      <w:r w:rsidRPr="008D5A31">
        <w:rPr>
          <w:rFonts w:ascii="Arial" w:hAnsi="Arial" w:cs="Arial"/>
          <w:sz w:val="19"/>
          <w:szCs w:val="19"/>
          <w:lang w:val="es-MX"/>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1C2D19B7" w14:textId="2AFE1775" w:rsidR="001E70A8" w:rsidRDefault="001E70A8" w:rsidP="001E70A8">
      <w:pPr>
        <w:jc w:val="both"/>
        <w:rPr>
          <w:rFonts w:ascii="Arial" w:eastAsia="Times New Roman" w:hAnsi="Arial" w:cs="Arial"/>
          <w:sz w:val="18"/>
          <w:szCs w:val="18"/>
          <w:lang w:val="es-ES" w:eastAsia="es-ES"/>
        </w:rPr>
      </w:pP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56428C00" w14:textId="77777777" w:rsidR="0083307A" w:rsidRPr="008D5A31" w:rsidRDefault="0083307A" w:rsidP="0083307A">
      <w:pPr>
        <w:pStyle w:val="Texto"/>
        <w:spacing w:after="0" w:line="240" w:lineRule="auto"/>
        <w:ind w:left="-397" w:right="-397" w:firstLine="0"/>
        <w:rPr>
          <w:color w:val="000000"/>
          <w:sz w:val="19"/>
          <w:szCs w:val="19"/>
        </w:rPr>
      </w:pPr>
      <w:r>
        <w:rPr>
          <w:b/>
          <w:bCs/>
          <w:szCs w:val="18"/>
          <w:lang w:val="es-MX"/>
        </w:rPr>
        <w:t xml:space="preserve"> </w:t>
      </w:r>
      <w:r w:rsidRPr="008D5A31">
        <w:rPr>
          <w:color w:val="000000"/>
          <w:sz w:val="19"/>
          <w:szCs w:val="19"/>
        </w:rPr>
        <w:t>Tomando en consideración que la entrega de los insumos deberá realizarse dentro de los 10 días hábiles a partir de la fecha del fallo, y de conformidad a lo establecido en el artículo 48, fracción II, tercer párrafo de la LAASSP que a la letra dice “La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correspondiente al anticipo se presentará previamente a la entrega de éste, a más tardar en la fecha establecida en el contrato.”, se exime de la presentación de una fianza que garantice el cumplimiento del mismo.</w:t>
      </w:r>
    </w:p>
    <w:p w14:paraId="5201BAA2" w14:textId="77777777" w:rsidR="0083307A" w:rsidRPr="008D5A31" w:rsidRDefault="0083307A" w:rsidP="0083307A">
      <w:pPr>
        <w:pStyle w:val="Texto"/>
        <w:spacing w:after="0" w:line="240" w:lineRule="auto"/>
        <w:ind w:left="-397" w:right="-397" w:firstLine="0"/>
        <w:rPr>
          <w:color w:val="000000"/>
          <w:sz w:val="19"/>
          <w:szCs w:val="19"/>
        </w:rPr>
      </w:pPr>
    </w:p>
    <w:p w14:paraId="2761C281" w14:textId="77777777" w:rsidR="0083307A" w:rsidRPr="008D5A31" w:rsidRDefault="0083307A" w:rsidP="0083307A">
      <w:pPr>
        <w:pStyle w:val="Texto"/>
        <w:spacing w:after="0" w:line="240" w:lineRule="auto"/>
        <w:ind w:left="-397" w:right="-397" w:firstLine="0"/>
        <w:rPr>
          <w:color w:val="000000"/>
          <w:sz w:val="19"/>
          <w:szCs w:val="19"/>
        </w:rPr>
      </w:pPr>
      <w:r w:rsidRPr="008D5A31">
        <w:rPr>
          <w:color w:val="000000"/>
          <w:sz w:val="19"/>
          <w:szCs w:val="19"/>
        </w:rPr>
        <w:t>Sin embargo, de conformidad con lo establecido en el artículo 53 de la LAASSP y el artículo 96 de su reglamento,  “el Instituto” aplicara penas convencionales a “el proveedor”, cuando existan incumplimientos en la fecha pactada para la entrega de los insumos contratados o en la cantidad pactada para entrega, la cual será del 20% (veinte por ciento), calculadas sobre el valor del insumo  incumplido y sin considerar el impuesto al valor agregado.</w:t>
      </w:r>
    </w:p>
    <w:p w14:paraId="6C6F86AF" w14:textId="77777777" w:rsidR="0083307A" w:rsidRPr="008D5A31" w:rsidRDefault="0083307A" w:rsidP="0083307A">
      <w:pPr>
        <w:pStyle w:val="Texto"/>
        <w:spacing w:after="0" w:line="240" w:lineRule="auto"/>
        <w:ind w:left="-397" w:right="-397" w:firstLine="0"/>
        <w:rPr>
          <w:color w:val="000000"/>
          <w:sz w:val="19"/>
          <w:szCs w:val="19"/>
        </w:rPr>
      </w:pPr>
    </w:p>
    <w:p w14:paraId="0D8ECDC8" w14:textId="77777777" w:rsidR="0083307A" w:rsidRPr="008D5A31" w:rsidRDefault="0083307A" w:rsidP="0083307A">
      <w:pPr>
        <w:pStyle w:val="Texto"/>
        <w:spacing w:after="0" w:line="240" w:lineRule="auto"/>
        <w:ind w:left="-397" w:right="-397" w:firstLine="0"/>
        <w:rPr>
          <w:color w:val="000000"/>
          <w:sz w:val="19"/>
          <w:szCs w:val="19"/>
        </w:rPr>
      </w:pPr>
      <w:r w:rsidRPr="008D5A31">
        <w:rPr>
          <w:color w:val="000000"/>
          <w:sz w:val="19"/>
          <w:szCs w:val="19"/>
        </w:rPr>
        <w:lastRenderedPageBreak/>
        <w:t xml:space="preserve"> “El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éste deba cubrirle a “el instituto” durante el periodo en que incurra y/o se mantenga en incumplimiento con motivo de los servicios.</w:t>
      </w:r>
    </w:p>
    <w:p w14:paraId="3B962D20" w14:textId="7E45C925" w:rsidR="001E70A8" w:rsidRPr="00A45A8F" w:rsidRDefault="001E70A8" w:rsidP="001E70A8">
      <w:pPr>
        <w:jc w:val="both"/>
        <w:rPr>
          <w:rFonts w:ascii="Arial" w:hAnsi="Arial" w:cs="Arial"/>
          <w:b/>
          <w:bCs/>
          <w:sz w:val="18"/>
          <w:szCs w:val="18"/>
          <w:lang w:val="es-MX"/>
        </w:rPr>
      </w:pP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72F3CD27" w14:textId="77777777" w:rsidR="0083307A" w:rsidRDefault="0083307A" w:rsidP="001E70A8">
      <w:pPr>
        <w:rPr>
          <w:b/>
          <w:lang w:val="es-MX"/>
        </w:rPr>
      </w:pPr>
    </w:p>
    <w:p w14:paraId="0E12368D" w14:textId="77777777" w:rsidR="0083307A" w:rsidRDefault="0083307A" w:rsidP="001E70A8">
      <w:pPr>
        <w:rPr>
          <w:b/>
          <w:lang w:val="es-MX"/>
        </w:rPr>
      </w:pPr>
    </w:p>
    <w:p w14:paraId="6BC3698E" w14:textId="77777777" w:rsidR="0083307A" w:rsidRDefault="0083307A" w:rsidP="001E70A8">
      <w:pPr>
        <w:rPr>
          <w:b/>
          <w:lang w:val="es-MX"/>
        </w:rPr>
      </w:pPr>
    </w:p>
    <w:p w14:paraId="42B55E7A" w14:textId="77777777" w:rsidR="0083307A" w:rsidRDefault="0083307A" w:rsidP="001E70A8">
      <w:pPr>
        <w:rPr>
          <w:b/>
          <w:lang w:val="es-MX"/>
        </w:rPr>
      </w:pPr>
    </w:p>
    <w:p w14:paraId="42F64BC2" w14:textId="77777777" w:rsidR="0083307A" w:rsidRDefault="0083307A" w:rsidP="001E70A8">
      <w:pPr>
        <w:rPr>
          <w:b/>
          <w:lang w:val="es-MX"/>
        </w:rPr>
      </w:pPr>
    </w:p>
    <w:p w14:paraId="7DC5185B" w14:textId="77777777" w:rsidR="0083307A" w:rsidRDefault="0083307A" w:rsidP="001E70A8">
      <w:pPr>
        <w:rPr>
          <w:b/>
          <w:lang w:val="es-MX"/>
        </w:rPr>
      </w:pPr>
    </w:p>
    <w:p w14:paraId="0D4454D2" w14:textId="77777777" w:rsidR="0083307A" w:rsidRDefault="0083307A" w:rsidP="001E70A8">
      <w:pPr>
        <w:rPr>
          <w:b/>
          <w:lang w:val="es-MX"/>
        </w:rPr>
      </w:pPr>
    </w:p>
    <w:p w14:paraId="1176B636" w14:textId="77777777" w:rsidR="0083307A" w:rsidRDefault="0083307A" w:rsidP="001E70A8">
      <w:pPr>
        <w:rPr>
          <w:b/>
          <w:lang w:val="es-MX"/>
        </w:rPr>
      </w:pPr>
    </w:p>
    <w:p w14:paraId="1238F8C2" w14:textId="77777777" w:rsidR="0083307A" w:rsidRDefault="0083307A" w:rsidP="001E70A8">
      <w:pPr>
        <w:rPr>
          <w:b/>
          <w:lang w:val="es-MX"/>
        </w:rPr>
      </w:pPr>
    </w:p>
    <w:p w14:paraId="2EABD45D" w14:textId="77777777" w:rsidR="0083307A" w:rsidRDefault="0083307A" w:rsidP="001E70A8">
      <w:pPr>
        <w:rPr>
          <w:b/>
          <w:lang w:val="es-MX"/>
        </w:rPr>
      </w:pPr>
    </w:p>
    <w:p w14:paraId="10FEBBDF" w14:textId="77777777" w:rsidR="0083307A" w:rsidRDefault="0083307A" w:rsidP="001E70A8">
      <w:pPr>
        <w:rPr>
          <w:b/>
          <w:lang w:val="es-MX"/>
        </w:rPr>
      </w:pPr>
    </w:p>
    <w:p w14:paraId="177A0373" w14:textId="77777777" w:rsidR="0083307A" w:rsidRDefault="0083307A" w:rsidP="001E70A8">
      <w:pPr>
        <w:rPr>
          <w:b/>
          <w:lang w:val="es-MX"/>
        </w:rPr>
      </w:pPr>
    </w:p>
    <w:tbl>
      <w:tblPr>
        <w:tblW w:w="0" w:type="auto"/>
        <w:tblInd w:w="55" w:type="dxa"/>
        <w:tblCellMar>
          <w:left w:w="70" w:type="dxa"/>
          <w:right w:w="70" w:type="dxa"/>
        </w:tblCellMar>
        <w:tblLook w:val="04A0" w:firstRow="1" w:lastRow="0" w:firstColumn="1" w:lastColumn="0" w:noHBand="0" w:noVBand="1"/>
      </w:tblPr>
      <w:tblGrid>
        <w:gridCol w:w="6544"/>
        <w:gridCol w:w="1530"/>
        <w:gridCol w:w="1699"/>
      </w:tblGrid>
      <w:tr w:rsidR="00093AFB" w:rsidRPr="00012BDE" w14:paraId="48CB5E7A" w14:textId="77777777" w:rsidTr="0083307A">
        <w:trPr>
          <w:trHeight w:val="289"/>
        </w:trPr>
        <w:tc>
          <w:tcPr>
            <w:tcW w:w="0" w:type="auto"/>
            <w:gridSpan w:val="3"/>
            <w:tcBorders>
              <w:top w:val="nil"/>
              <w:left w:val="nil"/>
              <w:bottom w:val="nil"/>
              <w:right w:val="nil"/>
            </w:tcBorders>
            <w:shd w:val="clear" w:color="auto" w:fill="auto"/>
            <w:noWrap/>
            <w:vAlign w:val="bottom"/>
            <w:hideMark/>
          </w:tcPr>
          <w:p w14:paraId="1156C4DF" w14:textId="77777777" w:rsidR="00093AFB" w:rsidRPr="00012BDE" w:rsidRDefault="00093AFB" w:rsidP="0083307A">
            <w:pPr>
              <w:jc w:val="center"/>
              <w:rPr>
                <w:rFonts w:eastAsia="Times New Roman" w:cs="Calibri"/>
                <w:b/>
                <w:color w:val="000000"/>
                <w:sz w:val="22"/>
                <w:szCs w:val="22"/>
                <w:lang w:val="es-MX" w:eastAsia="es-MX"/>
              </w:rPr>
            </w:pPr>
            <w:r w:rsidRPr="00012BDE">
              <w:rPr>
                <w:rFonts w:eastAsia="Times New Roman" w:cs="Calibri"/>
                <w:b/>
                <w:color w:val="000000"/>
                <w:sz w:val="22"/>
                <w:szCs w:val="22"/>
                <w:lang w:val="es-MX" w:eastAsia="es-MX"/>
              </w:rPr>
              <w:t xml:space="preserve">Requerimiento </w:t>
            </w:r>
            <w:r w:rsidRPr="00A82192">
              <w:rPr>
                <w:rFonts w:eastAsia="Times New Roman" w:cs="Calibri"/>
                <w:b/>
                <w:color w:val="000000"/>
                <w:sz w:val="22"/>
                <w:szCs w:val="22"/>
                <w:lang w:val="es-MX" w:eastAsia="es-MX"/>
              </w:rPr>
              <w:t>Técnico</w:t>
            </w:r>
          </w:p>
        </w:tc>
      </w:tr>
      <w:tr w:rsidR="00093AFB" w:rsidRPr="00012BDE" w14:paraId="47298CCA" w14:textId="77777777" w:rsidTr="0083307A">
        <w:trPr>
          <w:trHeight w:val="300"/>
        </w:trPr>
        <w:tc>
          <w:tcPr>
            <w:tcW w:w="0" w:type="auto"/>
            <w:tcBorders>
              <w:top w:val="nil"/>
              <w:left w:val="nil"/>
              <w:bottom w:val="nil"/>
              <w:right w:val="nil"/>
            </w:tcBorders>
            <w:shd w:val="clear" w:color="auto" w:fill="auto"/>
            <w:noWrap/>
            <w:vAlign w:val="bottom"/>
            <w:hideMark/>
          </w:tcPr>
          <w:p w14:paraId="3CF44264" w14:textId="77777777" w:rsidR="00093AFB" w:rsidRPr="00012BDE" w:rsidRDefault="00093AFB" w:rsidP="0083307A">
            <w:pPr>
              <w:rPr>
                <w:rFonts w:eastAsia="Times New Roman" w:cs="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1A3C887" w14:textId="77777777" w:rsidR="00093AFB" w:rsidRPr="00012BDE" w:rsidRDefault="00093AFB" w:rsidP="0083307A">
            <w:pPr>
              <w:rPr>
                <w:rFonts w:eastAsia="Times New Roman" w:cs="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350A07D" w14:textId="77777777" w:rsidR="00093AFB" w:rsidRPr="00012BDE" w:rsidRDefault="00093AFB" w:rsidP="0083307A">
            <w:pPr>
              <w:jc w:val="center"/>
              <w:rPr>
                <w:rFonts w:eastAsia="Times New Roman" w:cs="Calibri"/>
                <w:color w:val="000000"/>
                <w:sz w:val="22"/>
                <w:szCs w:val="22"/>
                <w:lang w:val="es-MX" w:eastAsia="es-MX"/>
              </w:rPr>
            </w:pPr>
          </w:p>
        </w:tc>
      </w:tr>
      <w:tr w:rsidR="00093AFB" w:rsidRPr="00012BDE" w14:paraId="00FC0C55" w14:textId="77777777" w:rsidTr="0083307A">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00AFB42" w14:textId="77777777" w:rsidR="00093AFB" w:rsidRPr="00012BDE" w:rsidRDefault="00093AFB" w:rsidP="0083307A">
            <w:pPr>
              <w:jc w:val="center"/>
              <w:rPr>
                <w:rFonts w:ascii="Montserrat" w:eastAsia="Times New Roman" w:hAnsi="Montserrat" w:cs="Calibri"/>
                <w:b/>
                <w:bCs/>
                <w:color w:val="000000"/>
                <w:sz w:val="20"/>
                <w:szCs w:val="20"/>
                <w:lang w:val="es-MX" w:eastAsia="es-MX"/>
              </w:rPr>
            </w:pPr>
            <w:r w:rsidRPr="00012BDE">
              <w:rPr>
                <w:rFonts w:ascii="Montserrat" w:eastAsia="Times New Roman" w:hAnsi="Montserrat" w:cs="Calibri"/>
                <w:b/>
                <w:bCs/>
                <w:color w:val="000000"/>
                <w:sz w:val="20"/>
                <w:szCs w:val="20"/>
                <w:lang w:val="es-MX" w:eastAsia="es-MX"/>
              </w:rPr>
              <w:t>DESCRIPCION</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055E459" w14:textId="77777777" w:rsidR="00093AFB" w:rsidRPr="00012BDE" w:rsidRDefault="00093AFB" w:rsidP="0083307A">
            <w:pPr>
              <w:jc w:val="center"/>
              <w:rPr>
                <w:rFonts w:ascii="Montserrat" w:eastAsia="Times New Roman" w:hAnsi="Montserrat" w:cs="Calibri"/>
                <w:b/>
                <w:bCs/>
                <w:sz w:val="20"/>
                <w:szCs w:val="20"/>
                <w:lang w:val="es-MX" w:eastAsia="es-MX"/>
              </w:rPr>
            </w:pPr>
            <w:r w:rsidRPr="00012BDE">
              <w:rPr>
                <w:rFonts w:ascii="Montserrat" w:eastAsia="Times New Roman" w:hAnsi="Montserrat" w:cs="Calibri"/>
                <w:b/>
                <w:bCs/>
                <w:sz w:val="20"/>
                <w:szCs w:val="20"/>
                <w:lang w:val="es-MX" w:eastAsia="es-MX"/>
              </w:rPr>
              <w:t>Presentación</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A260E36" w14:textId="77777777" w:rsidR="00093AFB" w:rsidRPr="00012BDE" w:rsidRDefault="00093AFB" w:rsidP="0083307A">
            <w:pPr>
              <w:jc w:val="center"/>
              <w:rPr>
                <w:rFonts w:ascii="Montserrat" w:eastAsia="Times New Roman" w:hAnsi="Montserrat" w:cs="Calibri"/>
                <w:b/>
                <w:bCs/>
                <w:sz w:val="20"/>
                <w:szCs w:val="20"/>
                <w:lang w:val="es-MX" w:eastAsia="es-MX"/>
              </w:rPr>
            </w:pPr>
            <w:r w:rsidRPr="00012BDE">
              <w:rPr>
                <w:rFonts w:ascii="Montserrat" w:eastAsia="Times New Roman" w:hAnsi="Montserrat" w:cs="Calibri"/>
                <w:b/>
                <w:bCs/>
                <w:sz w:val="20"/>
                <w:szCs w:val="20"/>
                <w:lang w:val="es-MX" w:eastAsia="es-MX"/>
              </w:rPr>
              <w:t xml:space="preserve">Cantidad   requerida </w:t>
            </w:r>
          </w:p>
        </w:tc>
      </w:tr>
      <w:tr w:rsidR="00093AFB" w:rsidRPr="00012BDE" w14:paraId="26C4F36B" w14:textId="77777777" w:rsidTr="0083307A">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71BCC5" w14:textId="77777777" w:rsidR="00093AFB" w:rsidRPr="00012BDE" w:rsidRDefault="00093AFB" w:rsidP="0083307A">
            <w:pP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 xml:space="preserve">Sistema de implante coclear recto delgado, CI622 con procesador </w:t>
            </w:r>
            <w:proofErr w:type="spellStart"/>
            <w:r w:rsidRPr="00012BDE">
              <w:rPr>
                <w:rFonts w:ascii="Montserrat" w:eastAsia="Times New Roman" w:hAnsi="Montserrat" w:cs="Calibri"/>
                <w:color w:val="000000"/>
                <w:sz w:val="20"/>
                <w:szCs w:val="20"/>
                <w:lang w:val="es-MX" w:eastAsia="es-MX"/>
              </w:rPr>
              <w:t>Nucleus</w:t>
            </w:r>
            <w:proofErr w:type="spellEnd"/>
            <w:r w:rsidRPr="00012BDE">
              <w:rPr>
                <w:rFonts w:ascii="Montserrat" w:eastAsia="Times New Roman" w:hAnsi="Montserrat" w:cs="Calibri"/>
                <w:color w:val="000000"/>
                <w:sz w:val="20"/>
                <w:szCs w:val="20"/>
                <w:lang w:val="es-MX" w:eastAsia="es-MX"/>
              </w:rPr>
              <w:t xml:space="preserve"> 8. Perteneciente a la casa comercial </w:t>
            </w:r>
            <w:proofErr w:type="spellStart"/>
            <w:r w:rsidRPr="00012BDE">
              <w:rPr>
                <w:rFonts w:ascii="Montserrat" w:eastAsia="Times New Roman" w:hAnsi="Montserrat" w:cs="Calibri"/>
                <w:color w:val="000000"/>
                <w:sz w:val="20"/>
                <w:szCs w:val="20"/>
                <w:lang w:val="es-MX" w:eastAsia="es-MX"/>
              </w:rPr>
              <w:t>Cochlear</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663ABA3" w14:textId="77777777" w:rsidR="00093AFB" w:rsidRPr="00012BDE" w:rsidRDefault="00093AFB" w:rsidP="0083307A">
            <w:pP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PZA 1 PZA</w:t>
            </w:r>
          </w:p>
        </w:tc>
        <w:tc>
          <w:tcPr>
            <w:tcW w:w="0" w:type="auto"/>
            <w:tcBorders>
              <w:top w:val="nil"/>
              <w:left w:val="nil"/>
              <w:bottom w:val="single" w:sz="4" w:space="0" w:color="auto"/>
              <w:right w:val="single" w:sz="4" w:space="0" w:color="auto"/>
            </w:tcBorders>
            <w:shd w:val="clear" w:color="000000" w:fill="FFFFFF"/>
            <w:noWrap/>
            <w:vAlign w:val="center"/>
            <w:hideMark/>
          </w:tcPr>
          <w:p w14:paraId="38BC3188" w14:textId="77777777" w:rsidR="00093AFB" w:rsidRPr="00012BDE" w:rsidRDefault="00093AFB" w:rsidP="0083307A">
            <w:pPr>
              <w:jc w:val="cente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1</w:t>
            </w:r>
          </w:p>
        </w:tc>
      </w:tr>
    </w:tbl>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6C037C62"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DE4172">
        <w:rPr>
          <w:rFonts w:ascii="Arial" w:hAnsi="Arial" w:cs="Arial"/>
          <w:sz w:val="18"/>
          <w:szCs w:val="18"/>
          <w:lang w:val="es-MX"/>
        </w:rPr>
        <w:t>0-GYR-050GYR002-T-87</w:t>
      </w:r>
      <w:r w:rsidR="00E87E3A">
        <w:rPr>
          <w:rFonts w:ascii="Arial" w:hAnsi="Arial" w:cs="Arial"/>
          <w:sz w:val="18"/>
          <w:szCs w:val="18"/>
          <w:lang w:val="es-MX"/>
        </w:rPr>
        <w:t>-2025</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EA863" w14:textId="77777777" w:rsidR="00EE2F2D" w:rsidRDefault="00EE2F2D" w:rsidP="00984A99">
      <w:r>
        <w:separator/>
      </w:r>
    </w:p>
  </w:endnote>
  <w:endnote w:type="continuationSeparator" w:id="0">
    <w:p w14:paraId="2D5ABA74" w14:textId="77777777" w:rsidR="00EE2F2D" w:rsidRDefault="00EE2F2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altName w:val="Times New Roman"/>
    <w:panose1 w:val="000000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altName w:val="Courier New"/>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83307A" w:rsidRDefault="0083307A"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83307A" w:rsidRDefault="0083307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83307A" w:rsidRPr="001B45F5" w:rsidRDefault="0083307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83307A" w:rsidRPr="00984A99" w:rsidRDefault="008330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83307A" w:rsidRDefault="0083307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83307A" w:rsidRPr="001B45F5" w:rsidRDefault="0083307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83307A" w:rsidRPr="00984A99" w:rsidRDefault="0083307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39294" w14:textId="77777777" w:rsidR="00EE2F2D" w:rsidRDefault="00EE2F2D" w:rsidP="00984A99">
      <w:r>
        <w:separator/>
      </w:r>
    </w:p>
  </w:footnote>
  <w:footnote w:type="continuationSeparator" w:id="0">
    <w:p w14:paraId="7FC4E3EA" w14:textId="77777777" w:rsidR="00EE2F2D" w:rsidRDefault="00EE2F2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83307A" w:rsidRDefault="0083307A"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83307A" w:rsidRDefault="0083307A"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83307A" w:rsidRPr="00C0299D" w:rsidRDefault="0083307A"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83307A" w:rsidRPr="00C0299D" w:rsidRDefault="0083307A"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08CBEED" w:rsidR="0083307A" w:rsidRPr="00C0299D" w:rsidRDefault="0083307A"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DE4172">
                            <w:rPr>
                              <w:rFonts w:ascii="Montserrat" w:hAnsi="Montserrat"/>
                              <w:sz w:val="12"/>
                              <w:szCs w:val="12"/>
                            </w:rPr>
                            <w:t>87</w:t>
                          </w:r>
                          <w:r>
                            <w:rPr>
                              <w:rFonts w:ascii="Montserrat" w:hAnsi="Montserrat"/>
                              <w:sz w:val="12"/>
                              <w:szCs w:val="12"/>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83307A" w:rsidRDefault="0083307A"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83307A" w:rsidRPr="00C0299D" w:rsidRDefault="0083307A"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83307A" w:rsidRPr="00C0299D" w:rsidRDefault="0083307A"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08CBEED" w:rsidR="0083307A" w:rsidRPr="00C0299D" w:rsidRDefault="0083307A"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DE4172">
                      <w:rPr>
                        <w:rFonts w:ascii="Montserrat" w:hAnsi="Montserrat"/>
                        <w:sz w:val="12"/>
                        <w:szCs w:val="12"/>
                      </w:rPr>
                      <w:t>87</w:t>
                    </w:r>
                    <w:r>
                      <w:rPr>
                        <w:rFonts w:ascii="Montserrat" w:hAnsi="Montserrat"/>
                        <w:sz w:val="12"/>
                        <w:szCs w:val="12"/>
                      </w:rPr>
                      <w:t>-2025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7">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0">
    <w:nsid w:val="2F796EB9"/>
    <w:multiLevelType w:val="hybridMultilevel"/>
    <w:tmpl w:val="D8B073EC"/>
    <w:lvl w:ilvl="0" w:tplc="FB6AC6FA">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3FFE2A01"/>
    <w:multiLevelType w:val="hybridMultilevel"/>
    <w:tmpl w:val="D0E098C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6C23169"/>
    <w:multiLevelType w:val="hybridMultilevel"/>
    <w:tmpl w:val="2076D838"/>
    <w:lvl w:ilvl="0" w:tplc="E00CB248">
      <w:numFmt w:val="bullet"/>
      <w:lvlText w:val="-"/>
      <w:lvlJc w:val="left"/>
      <w:pPr>
        <w:ind w:left="644" w:hanging="360"/>
      </w:pPr>
      <w:rPr>
        <w:rFonts w:ascii="Eras Medium ITC" w:eastAsia="Calibri" w:hAnsi="Eras Medium ITC"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5">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0E1663"/>
    <w:multiLevelType w:val="hybridMultilevel"/>
    <w:tmpl w:val="F4505560"/>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9">
    <w:nsid w:val="73567DA3"/>
    <w:multiLevelType w:val="hybridMultilevel"/>
    <w:tmpl w:val="A0044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0"/>
  </w:num>
  <w:num w:numId="4">
    <w:abstractNumId w:val="12"/>
  </w:num>
  <w:num w:numId="5">
    <w:abstractNumId w:val="20"/>
  </w:num>
  <w:num w:numId="6">
    <w:abstractNumId w:val="3"/>
  </w:num>
  <w:num w:numId="7">
    <w:abstractNumId w:val="15"/>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4"/>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17"/>
  </w:num>
  <w:num w:numId="17">
    <w:abstractNumId w:val="18"/>
  </w:num>
  <w:num w:numId="18">
    <w:abstractNumId w:val="13"/>
  </w:num>
  <w:num w:numId="19">
    <w:abstractNumId w:val="11"/>
  </w:num>
  <w:num w:numId="20">
    <w:abstractNumId w:val="1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93AFB"/>
    <w:rsid w:val="000A2344"/>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35E8F"/>
    <w:rsid w:val="0015037D"/>
    <w:rsid w:val="00151189"/>
    <w:rsid w:val="00153E51"/>
    <w:rsid w:val="00161B35"/>
    <w:rsid w:val="00170F07"/>
    <w:rsid w:val="00173F73"/>
    <w:rsid w:val="00175CB8"/>
    <w:rsid w:val="0017773D"/>
    <w:rsid w:val="001779D9"/>
    <w:rsid w:val="001A41B3"/>
    <w:rsid w:val="001C0E8C"/>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93B95"/>
    <w:rsid w:val="002C0B5F"/>
    <w:rsid w:val="002C7428"/>
    <w:rsid w:val="002C7D03"/>
    <w:rsid w:val="002D7579"/>
    <w:rsid w:val="002E6E05"/>
    <w:rsid w:val="00313CCC"/>
    <w:rsid w:val="00315AAC"/>
    <w:rsid w:val="003255EB"/>
    <w:rsid w:val="003376A5"/>
    <w:rsid w:val="0034120D"/>
    <w:rsid w:val="00344C6F"/>
    <w:rsid w:val="00350234"/>
    <w:rsid w:val="00352173"/>
    <w:rsid w:val="003623FE"/>
    <w:rsid w:val="00365F3B"/>
    <w:rsid w:val="00376113"/>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4C9F"/>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37421"/>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3307A"/>
    <w:rsid w:val="00846263"/>
    <w:rsid w:val="008623F9"/>
    <w:rsid w:val="00866938"/>
    <w:rsid w:val="00867CFB"/>
    <w:rsid w:val="00870F70"/>
    <w:rsid w:val="00875917"/>
    <w:rsid w:val="00877BB2"/>
    <w:rsid w:val="00883B0A"/>
    <w:rsid w:val="00885B22"/>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0D65"/>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873D7"/>
    <w:rsid w:val="00A9242D"/>
    <w:rsid w:val="00A94C3F"/>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6396"/>
    <w:rsid w:val="00BE7230"/>
    <w:rsid w:val="00BF1BF1"/>
    <w:rsid w:val="00BF6276"/>
    <w:rsid w:val="00C10A3B"/>
    <w:rsid w:val="00C21288"/>
    <w:rsid w:val="00C316E8"/>
    <w:rsid w:val="00C63593"/>
    <w:rsid w:val="00C753F4"/>
    <w:rsid w:val="00C76D30"/>
    <w:rsid w:val="00C838AD"/>
    <w:rsid w:val="00C96520"/>
    <w:rsid w:val="00C96A31"/>
    <w:rsid w:val="00CA11FF"/>
    <w:rsid w:val="00CA14A6"/>
    <w:rsid w:val="00CB7344"/>
    <w:rsid w:val="00CC0F4F"/>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C725E"/>
    <w:rsid w:val="00DD0540"/>
    <w:rsid w:val="00DD161D"/>
    <w:rsid w:val="00DE4172"/>
    <w:rsid w:val="00DE571C"/>
    <w:rsid w:val="00DF0F53"/>
    <w:rsid w:val="00DF312B"/>
    <w:rsid w:val="00E02C9D"/>
    <w:rsid w:val="00E16AFE"/>
    <w:rsid w:val="00E22905"/>
    <w:rsid w:val="00E256A2"/>
    <w:rsid w:val="00E53148"/>
    <w:rsid w:val="00E5340A"/>
    <w:rsid w:val="00E55BE5"/>
    <w:rsid w:val="00E669D0"/>
    <w:rsid w:val="00E66D16"/>
    <w:rsid w:val="00E67591"/>
    <w:rsid w:val="00E75704"/>
    <w:rsid w:val="00E83AD2"/>
    <w:rsid w:val="00E87E3A"/>
    <w:rsid w:val="00E93A57"/>
    <w:rsid w:val="00EB180B"/>
    <w:rsid w:val="00EB1D61"/>
    <w:rsid w:val="00EB4F3D"/>
    <w:rsid w:val="00EC48E2"/>
    <w:rsid w:val="00EC4EF1"/>
    <w:rsid w:val="00ED0248"/>
    <w:rsid w:val="00EE2F2D"/>
    <w:rsid w:val="00EE2F94"/>
    <w:rsid w:val="00EF0E77"/>
    <w:rsid w:val="00EF6812"/>
    <w:rsid w:val="00F02900"/>
    <w:rsid w:val="00F2342F"/>
    <w:rsid w:val="00F54166"/>
    <w:rsid w:val="00F546FA"/>
    <w:rsid w:val="00F6777B"/>
    <w:rsid w:val="00F71CCD"/>
    <w:rsid w:val="00F85B28"/>
    <w:rsid w:val="00F92190"/>
    <w:rsid w:val="00F962FC"/>
    <w:rsid w:val="00F96E24"/>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Identado multinivel,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Identado multinivel,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02B28D-51A2-471F-93E9-DA7DEB63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10798</Words>
  <Characters>59395</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8</cp:revision>
  <cp:lastPrinted>2024-04-22T14:40:00Z</cp:lastPrinted>
  <dcterms:created xsi:type="dcterms:W3CDTF">2025-04-23T18:26:00Z</dcterms:created>
  <dcterms:modified xsi:type="dcterms:W3CDTF">2025-05-23T22:46:00Z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