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FB" w:rsidRPr="00B95326" w:rsidRDefault="00486183" w:rsidP="00B95326">
      <w:pPr>
        <w:spacing w:after="120" w:line="240" w:lineRule="auto"/>
      </w:pPr>
      <w:r>
        <w:rPr>
          <w:noProof/>
          <w:lang w:eastAsia="es-MX"/>
        </w:rPr>
        <mc:AlternateContent>
          <mc:Choice Requires="wps">
            <w:drawing>
              <wp:anchor distT="0" distB="0" distL="114300" distR="114300" simplePos="0" relativeHeight="251660288" behindDoc="0" locked="0" layoutInCell="1" allowOverlap="1" wp14:anchorId="580EC127" wp14:editId="4914D84C">
                <wp:simplePos x="0" y="0"/>
                <wp:positionH relativeFrom="column">
                  <wp:posOffset>3666490</wp:posOffset>
                </wp:positionH>
                <wp:positionV relativeFrom="paragraph">
                  <wp:posOffset>-548640</wp:posOffset>
                </wp:positionV>
                <wp:extent cx="2515235" cy="489585"/>
                <wp:effectExtent l="8890" t="13335" r="8890" b="1143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489585"/>
                        </a:xfrm>
                        <a:prstGeom prst="rect">
                          <a:avLst/>
                        </a:prstGeom>
                        <a:solidFill>
                          <a:srgbClr val="FFFFFF"/>
                        </a:solidFill>
                        <a:ln w="9525">
                          <a:solidFill>
                            <a:srgbClr val="000000"/>
                          </a:solidFill>
                          <a:miter lim="800000"/>
                          <a:headEnd/>
                          <a:tailEnd/>
                        </a:ln>
                      </wps:spPr>
                      <wps:txbx>
                        <w:txbxContent>
                          <w:p w:rsidR="00CA372C" w:rsidRPr="00CA372C" w:rsidRDefault="00CA372C">
                            <w:pPr>
                              <w:rPr>
                                <w:rFonts w:ascii="Arial" w:hAnsi="Arial" w:cs="Arial"/>
                                <w:color w:val="FF0000"/>
                              </w:rPr>
                            </w:pPr>
                            <w:r w:rsidRPr="00CA372C">
                              <w:rPr>
                                <w:rFonts w:ascii="Arial" w:hAnsi="Arial" w:cs="Arial"/>
                                <w:color w:val="FF0000"/>
                              </w:rPr>
                              <w:t>Esta es resuelta por la COFEMER en 5 días hábiles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8.7pt;margin-top:-43.2pt;width:198.05pt;height:38.5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">
                <v:textbox>
                  <w:txbxContent>
                    <w:p w:rsidR="00CA372C" w:rsidRPr="00CA372C" w:rsidRDefault="00CA372C">
                      <w:pPr>
                        <w:rPr>
                          <w:rFonts w:ascii="Arial" w:hAnsi="Arial" w:cs="Arial"/>
                          <w:color w:val="FF0000"/>
                        </w:rPr>
                      </w:pPr>
                      <w:r w:rsidRPr="00CA372C">
                        <w:rPr>
                          <w:rFonts w:ascii="Arial" w:hAnsi="Arial" w:cs="Arial"/>
                          <w:color w:val="FF0000"/>
                        </w:rPr>
                        <w:t>Esta es resuelta por la COFEMER en 5 días hábiles</w:t>
                      </w:r>
                    </w:p>
                  </w:txbxContent>
                </v:textbox>
              </v:shape>
            </w:pict>
          </mc:Fallback>
        </mc:AlternateContent>
      </w:r>
      <w:r>
        <w:rPr>
          <w:noProof/>
          <w:lang w:eastAsia="es-MX"/>
        </w:rPr>
        <w:drawing>
          <wp:inline distT="0" distB="0" distL="0" distR="0" wp14:anchorId="3FBAC15D" wp14:editId="7A98D9E2">
            <wp:extent cx="6329680" cy="593725"/>
            <wp:effectExtent l="0" t="0" r="0" b="0"/>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9680" cy="593725"/>
                    </a:xfrm>
                    <a:prstGeom prst="rect">
                      <a:avLst/>
                    </a:prstGeom>
                    <a:noFill/>
                    <a:ln>
                      <a:noFill/>
                    </a:ln>
                  </pic:spPr>
                </pic:pic>
              </a:graphicData>
            </a:graphic>
          </wp:inline>
        </w:drawing>
      </w:r>
    </w:p>
    <w:p w:rsidR="00247DFB" w:rsidRPr="00D82E19" w:rsidRDefault="00247DFB" w:rsidP="00792697">
      <w:pPr>
        <w:shd w:val="clear" w:color="auto" w:fill="365F91"/>
        <w:spacing w:after="0" w:line="240" w:lineRule="auto"/>
        <w:ind w:firstLine="284"/>
        <w:jc w:val="center"/>
        <w:rPr>
          <w:b/>
          <w:color w:val="FFFFFF"/>
          <w:sz w:val="24"/>
          <w:szCs w:val="24"/>
        </w:rPr>
      </w:pPr>
      <w:r>
        <w:rPr>
          <w:b/>
          <w:noProof/>
          <w:color w:val="FFFFFF"/>
          <w:sz w:val="24"/>
          <w:szCs w:val="24"/>
          <w:lang w:eastAsia="es-MX"/>
        </w:rPr>
        <w:t>EXENCIÓN DE MIR</w:t>
      </w:r>
    </w:p>
    <w:tbl>
      <w:tblPr>
        <w:tblpPr w:leftFromText="141" w:rightFromText="141" w:vertAnchor="text" w:horzAnchor="margin" w:tblpXSpec="center" w:tblpY="146"/>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6"/>
        <w:gridCol w:w="6521"/>
      </w:tblGrid>
      <w:tr w:rsidR="00247DFB" w:rsidRPr="00EE7253" w:rsidTr="00287B57">
        <w:trPr>
          <w:trHeight w:val="983"/>
        </w:trPr>
        <w:tc>
          <w:tcPr>
            <w:tcW w:w="3436" w:type="dxa"/>
            <w:shd w:val="clear" w:color="auto" w:fill="DBE5F1"/>
          </w:tcPr>
          <w:p w:rsidR="00247DFB" w:rsidRPr="00EE7253" w:rsidRDefault="00247DFB" w:rsidP="00792697">
            <w:pPr>
              <w:spacing w:after="0" w:line="240" w:lineRule="auto"/>
              <w:ind w:right="51"/>
              <w:jc w:val="both"/>
              <w:rPr>
                <w:rFonts w:cs="Arial"/>
                <w:sz w:val="20"/>
                <w:szCs w:val="20"/>
              </w:rPr>
            </w:pPr>
            <w:r w:rsidRPr="00EE7253">
              <w:rPr>
                <w:rFonts w:cs="Arial"/>
                <w:sz w:val="20"/>
                <w:szCs w:val="20"/>
              </w:rPr>
              <w:t>Dependencia u organismo descentralizado</w:t>
            </w:r>
            <w:r w:rsidRPr="00EE7253">
              <w:rPr>
                <w:rFonts w:cs="Arial"/>
                <w:b/>
                <w:sz w:val="20"/>
                <w:szCs w:val="20"/>
              </w:rPr>
              <w:t>:</w:t>
            </w:r>
            <w:r w:rsidR="00B00503" w:rsidRPr="00EE7253">
              <w:rPr>
                <w:rFonts w:cs="Arial"/>
                <w:b/>
                <w:sz w:val="20"/>
                <w:szCs w:val="20"/>
              </w:rPr>
              <w:t xml:space="preserve">  </w:t>
            </w:r>
            <w:r w:rsidR="00792697" w:rsidRPr="00EE7253">
              <w:rPr>
                <w:rFonts w:cs="Arial"/>
                <w:b/>
                <w:sz w:val="20"/>
                <w:szCs w:val="20"/>
              </w:rPr>
              <w:t>Instituto Mexicano del Seguro Social</w:t>
            </w:r>
          </w:p>
        </w:tc>
        <w:tc>
          <w:tcPr>
            <w:tcW w:w="6521" w:type="dxa"/>
            <w:shd w:val="clear" w:color="auto" w:fill="DBE5F1"/>
          </w:tcPr>
          <w:p w:rsidR="00247DFB" w:rsidRPr="00EE7253" w:rsidRDefault="00247DFB" w:rsidP="00792697">
            <w:pPr>
              <w:spacing w:after="0" w:line="240" w:lineRule="auto"/>
              <w:ind w:right="51"/>
              <w:jc w:val="both"/>
              <w:rPr>
                <w:rFonts w:cs="Arial"/>
                <w:sz w:val="20"/>
                <w:szCs w:val="20"/>
              </w:rPr>
            </w:pPr>
            <w:r w:rsidRPr="00EE7253">
              <w:rPr>
                <w:rFonts w:cs="Arial"/>
                <w:sz w:val="20"/>
                <w:szCs w:val="20"/>
              </w:rPr>
              <w:t>Título de la regulación</w:t>
            </w:r>
            <w:r w:rsidR="000B4345" w:rsidRPr="00EE7253">
              <w:rPr>
                <w:rFonts w:cs="Arial"/>
                <w:sz w:val="20"/>
                <w:szCs w:val="20"/>
              </w:rPr>
              <w:t>:</w:t>
            </w:r>
            <w:r w:rsidR="00792697" w:rsidRPr="00EE7253">
              <w:rPr>
                <w:sz w:val="20"/>
                <w:szCs w:val="20"/>
              </w:rPr>
              <w:t xml:space="preserve"> </w:t>
            </w:r>
            <w:r w:rsidR="00792697" w:rsidRPr="00EE7253">
              <w:rPr>
                <w:b/>
                <w:sz w:val="20"/>
                <w:szCs w:val="20"/>
              </w:rPr>
              <w:t>Anteproyecto de Reformas al Reglamento Interior del Instituto Mexicano del Seguro Social.</w:t>
            </w:r>
          </w:p>
        </w:tc>
      </w:tr>
      <w:tr w:rsidR="00247DFB" w:rsidRPr="00EE7253" w:rsidTr="00287B57">
        <w:trPr>
          <w:trHeight w:val="319"/>
        </w:trPr>
        <w:tc>
          <w:tcPr>
            <w:tcW w:w="3436" w:type="dxa"/>
            <w:shd w:val="clear" w:color="auto" w:fill="DBE5F1"/>
          </w:tcPr>
          <w:p w:rsidR="00130D71" w:rsidRPr="00EE7253" w:rsidRDefault="00130D71" w:rsidP="00792697">
            <w:pPr>
              <w:spacing w:after="0" w:line="240" w:lineRule="auto"/>
              <w:ind w:right="51"/>
              <w:jc w:val="both"/>
              <w:rPr>
                <w:b/>
                <w:sz w:val="20"/>
                <w:szCs w:val="20"/>
              </w:rPr>
            </w:pPr>
            <w:r w:rsidRPr="00EE7253">
              <w:rPr>
                <w:sz w:val="20"/>
                <w:szCs w:val="20"/>
              </w:rPr>
              <w:t>Punto de contacto:</w:t>
            </w:r>
            <w:r w:rsidRPr="00EE7253">
              <w:rPr>
                <w:color w:val="FF0000"/>
                <w:sz w:val="20"/>
                <w:szCs w:val="20"/>
              </w:rPr>
              <w:t xml:space="preserve"> </w:t>
            </w:r>
            <w:r w:rsidR="00792697" w:rsidRPr="00EE7253">
              <w:rPr>
                <w:b/>
                <w:sz w:val="20"/>
                <w:szCs w:val="20"/>
              </w:rPr>
              <w:t>Lic. Francisco Olmos Angeles.</w:t>
            </w:r>
          </w:p>
          <w:p w:rsidR="00130D71" w:rsidRPr="00EE7253" w:rsidRDefault="00130D71" w:rsidP="00792697">
            <w:pPr>
              <w:spacing w:after="0" w:line="240" w:lineRule="auto"/>
              <w:ind w:right="51"/>
              <w:jc w:val="both"/>
              <w:rPr>
                <w:b/>
                <w:sz w:val="20"/>
                <w:szCs w:val="20"/>
              </w:rPr>
            </w:pPr>
            <w:r w:rsidRPr="00EE7253">
              <w:rPr>
                <w:b/>
                <w:sz w:val="20"/>
                <w:szCs w:val="20"/>
              </w:rPr>
              <w:t>Teléfono</w:t>
            </w:r>
            <w:r w:rsidR="00792697" w:rsidRPr="00EE7253">
              <w:rPr>
                <w:b/>
                <w:sz w:val="20"/>
                <w:szCs w:val="20"/>
              </w:rPr>
              <w:t xml:space="preserve">: </w:t>
            </w:r>
            <w:r w:rsidR="00741733">
              <w:rPr>
                <w:b/>
                <w:sz w:val="20"/>
                <w:szCs w:val="20"/>
              </w:rPr>
              <w:t>5629-0200 EXT 13247</w:t>
            </w:r>
          </w:p>
          <w:p w:rsidR="00130D71" w:rsidRPr="00EE7253" w:rsidRDefault="00130D71" w:rsidP="00792697">
            <w:pPr>
              <w:spacing w:after="0" w:line="240" w:lineRule="auto"/>
              <w:ind w:right="51"/>
              <w:jc w:val="both"/>
              <w:rPr>
                <w:b/>
                <w:sz w:val="20"/>
                <w:szCs w:val="20"/>
              </w:rPr>
            </w:pPr>
            <w:r w:rsidRPr="00EE7253">
              <w:rPr>
                <w:b/>
                <w:sz w:val="20"/>
                <w:szCs w:val="20"/>
              </w:rPr>
              <w:t>Correo electrónico</w:t>
            </w:r>
            <w:r w:rsidR="00792697" w:rsidRPr="00EE7253">
              <w:rPr>
                <w:b/>
                <w:sz w:val="20"/>
                <w:szCs w:val="20"/>
              </w:rPr>
              <w:t>:</w:t>
            </w:r>
            <w:r w:rsidRPr="00EE7253">
              <w:rPr>
                <w:b/>
                <w:sz w:val="20"/>
                <w:szCs w:val="20"/>
              </w:rPr>
              <w:t xml:space="preserve"> francisco.olmos@imss.gob.mx</w:t>
            </w:r>
          </w:p>
          <w:p w:rsidR="00ED1A15" w:rsidRPr="00EE7253" w:rsidRDefault="00130D71" w:rsidP="00792697">
            <w:pPr>
              <w:spacing w:after="0" w:line="240" w:lineRule="auto"/>
              <w:ind w:right="51"/>
              <w:jc w:val="both"/>
              <w:rPr>
                <w:sz w:val="20"/>
                <w:szCs w:val="20"/>
              </w:rPr>
            </w:pPr>
            <w:r w:rsidRPr="00EE7253">
              <w:rPr>
                <w:b/>
                <w:sz w:val="20"/>
                <w:szCs w:val="20"/>
              </w:rPr>
              <w:t xml:space="preserve">Cargo </w:t>
            </w:r>
            <w:r w:rsidR="00792697" w:rsidRPr="00EE7253">
              <w:rPr>
                <w:b/>
                <w:sz w:val="20"/>
                <w:szCs w:val="20"/>
              </w:rPr>
              <w:t>Titular de la División de Normatividad y Mejora Regulatoria</w:t>
            </w:r>
          </w:p>
        </w:tc>
        <w:tc>
          <w:tcPr>
            <w:tcW w:w="6521" w:type="dxa"/>
            <w:shd w:val="clear" w:color="auto" w:fill="DBE5F1"/>
          </w:tcPr>
          <w:p w:rsidR="00247DFB" w:rsidRPr="00EE7253" w:rsidRDefault="00247DFB" w:rsidP="00792697">
            <w:pPr>
              <w:spacing w:after="0" w:line="240" w:lineRule="auto"/>
              <w:ind w:right="51"/>
              <w:jc w:val="both"/>
              <w:rPr>
                <w:sz w:val="20"/>
                <w:szCs w:val="20"/>
              </w:rPr>
            </w:pPr>
            <w:r w:rsidRPr="00EE7253">
              <w:rPr>
                <w:sz w:val="20"/>
                <w:szCs w:val="20"/>
              </w:rPr>
              <w:t>Fecha de recepción</w:t>
            </w:r>
            <w:r w:rsidR="006A7F28" w:rsidRPr="00EE7253">
              <w:rPr>
                <w:sz w:val="20"/>
                <w:szCs w:val="20"/>
              </w:rPr>
              <w:t xml:space="preserve">: </w:t>
            </w:r>
          </w:p>
          <w:p w:rsidR="00247DFB" w:rsidRPr="00EE7253" w:rsidRDefault="00247DFB" w:rsidP="003A5D1F">
            <w:pPr>
              <w:spacing w:after="0" w:line="240" w:lineRule="auto"/>
              <w:ind w:right="51"/>
              <w:jc w:val="both"/>
              <w:rPr>
                <w:sz w:val="20"/>
                <w:szCs w:val="20"/>
              </w:rPr>
            </w:pPr>
            <w:r w:rsidRPr="00EE7253">
              <w:rPr>
                <w:sz w:val="20"/>
                <w:szCs w:val="20"/>
              </w:rPr>
              <w:t>Fecha de envío:</w:t>
            </w:r>
            <w:r w:rsidR="00792697" w:rsidRPr="00EE7253">
              <w:rPr>
                <w:sz w:val="20"/>
                <w:szCs w:val="20"/>
              </w:rPr>
              <w:t xml:space="preserve"> </w:t>
            </w:r>
          </w:p>
        </w:tc>
      </w:tr>
    </w:tbl>
    <w:p w:rsidR="00247DFB" w:rsidRPr="00AC4A42" w:rsidRDefault="00247DFB" w:rsidP="00792697">
      <w:pPr>
        <w:spacing w:after="0" w:line="240" w:lineRule="auto"/>
        <w:ind w:right="51"/>
        <w:jc w:val="both"/>
        <w:rPr>
          <w:sz w:val="20"/>
        </w:rPr>
      </w:pPr>
      <w:r>
        <w:rPr>
          <w:sz w:val="20"/>
        </w:rPr>
        <w:t>Anexe el archivo que contiene la regulación</w:t>
      </w:r>
    </w:p>
    <w:p w:rsidR="00247DFB" w:rsidRDefault="00247DFB" w:rsidP="008161C7">
      <w:pPr>
        <w:spacing w:after="0" w:line="240" w:lineRule="auto"/>
        <w:rPr>
          <w:b/>
          <w:sz w:val="2"/>
          <w:szCs w:val="20"/>
        </w:rPr>
      </w:pPr>
    </w:p>
    <w:p w:rsidR="00247DFB" w:rsidRPr="008A2129" w:rsidRDefault="00247DFB" w:rsidP="008161C7">
      <w:pPr>
        <w:spacing w:after="0" w:line="240" w:lineRule="auto"/>
        <w:rPr>
          <w:b/>
          <w:sz w:val="2"/>
          <w:szCs w:val="20"/>
        </w:rPr>
      </w:pPr>
    </w:p>
    <w:p w:rsidR="00247DFB" w:rsidRPr="00833BA5" w:rsidRDefault="00247DFB" w:rsidP="00833BA5">
      <w:pPr>
        <w:shd w:val="clear" w:color="auto" w:fill="548DD4"/>
        <w:spacing w:after="120" w:line="240" w:lineRule="auto"/>
        <w:ind w:firstLine="284"/>
        <w:rPr>
          <w:b/>
          <w:color w:val="FFFFFF"/>
          <w:sz w:val="20"/>
          <w:szCs w:val="20"/>
        </w:rPr>
      </w:pPr>
      <w:r>
        <w:rPr>
          <w:b/>
          <w:noProof/>
          <w:color w:val="FFFFFF"/>
          <w:sz w:val="20"/>
          <w:szCs w:val="20"/>
          <w:lang w:eastAsia="es-MX"/>
        </w:rPr>
        <w:t>I.- DEFINICIÓN DEL PROBLEMA Y OBJETIVOS GENERALES DE LA REGULACIÓN</w:t>
      </w:r>
    </w:p>
    <w:p w:rsidR="00792697" w:rsidRDefault="00EE7253" w:rsidP="007F26B1">
      <w:pPr>
        <w:spacing w:before="60" w:after="240" w:line="264" w:lineRule="auto"/>
        <w:ind w:right="51"/>
        <w:jc w:val="both"/>
        <w:rPr>
          <w:rFonts w:ascii="Soberana Sans" w:hAnsi="Soberana Sans"/>
        </w:rPr>
      </w:pPr>
      <w:r w:rsidRPr="00792697">
        <w:rPr>
          <w:rFonts w:ascii="Soberana Sans" w:hAnsi="Soberana Sans"/>
          <w:noProof/>
          <w:lang w:eastAsia="es-MX"/>
        </w:rPr>
        <mc:AlternateContent>
          <mc:Choice Requires="wps">
            <w:drawing>
              <wp:anchor distT="0" distB="0" distL="114300" distR="114300" simplePos="0" relativeHeight="251662336" behindDoc="0" locked="0" layoutInCell="1" allowOverlap="1" wp14:anchorId="1495ED19" wp14:editId="56B5839D">
                <wp:simplePos x="0" y="0"/>
                <wp:positionH relativeFrom="column">
                  <wp:posOffset>-31115</wp:posOffset>
                </wp:positionH>
                <wp:positionV relativeFrom="paragraph">
                  <wp:posOffset>-1270</wp:posOffset>
                </wp:positionV>
                <wp:extent cx="6372860" cy="1403985"/>
                <wp:effectExtent l="0" t="0" r="27940" b="234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403985"/>
                        </a:xfrm>
                        <a:prstGeom prst="rect">
                          <a:avLst/>
                        </a:prstGeom>
                        <a:solidFill>
                          <a:srgbClr val="FFFFFF"/>
                        </a:solidFill>
                        <a:ln w="9525">
                          <a:solidFill>
                            <a:srgbClr val="000000"/>
                          </a:solidFill>
                          <a:miter lim="800000"/>
                          <a:headEnd/>
                          <a:tailEnd/>
                        </a:ln>
                      </wps:spPr>
                      <wps:txbx>
                        <w:txbxContent>
                          <w:p w:rsidR="00792697" w:rsidRPr="000854CE" w:rsidRDefault="00792697" w:rsidP="00EE7253">
                            <w:pPr>
                              <w:spacing w:after="0" w:line="240" w:lineRule="auto"/>
                              <w:ind w:right="51"/>
                              <w:jc w:val="both"/>
                              <w:rPr>
                                <w:sz w:val="20"/>
                                <w:szCs w:val="20"/>
                              </w:rPr>
                            </w:pPr>
                            <w:r w:rsidRPr="000854CE">
                              <w:rPr>
                                <w:sz w:val="20"/>
                                <w:szCs w:val="20"/>
                              </w:rPr>
                              <w:t>1. Explique brevemente en qué consiste la regulación propuesta así como sus objetivos generales.</w:t>
                            </w:r>
                          </w:p>
                          <w:p w:rsidR="00EE7253" w:rsidRPr="00EE7253" w:rsidRDefault="00EE7253" w:rsidP="00EE7253">
                            <w:pPr>
                              <w:spacing w:after="0" w:line="240" w:lineRule="auto"/>
                              <w:ind w:right="51"/>
                              <w:jc w:val="both"/>
                              <w:rPr>
                                <w:sz w:val="20"/>
                                <w:szCs w:val="20"/>
                              </w:rPr>
                            </w:pPr>
                          </w:p>
                          <w:p w:rsidR="00792697" w:rsidRPr="009B2230" w:rsidRDefault="00792697" w:rsidP="00EE7253">
                            <w:pPr>
                              <w:spacing w:after="0" w:line="240" w:lineRule="auto"/>
                              <w:ind w:right="51"/>
                              <w:jc w:val="both"/>
                              <w:rPr>
                                <w:sz w:val="19"/>
                                <w:szCs w:val="19"/>
                              </w:rPr>
                            </w:pPr>
                            <w:r w:rsidRPr="009B2230">
                              <w:rPr>
                                <w:sz w:val="19"/>
                                <w:szCs w:val="19"/>
                              </w:rPr>
                              <w:t>El reglamento Interior del Instituto Mexicano del Seguro Social regula, entre otros aspectos, la determinación de la circunscripción territorial dentro de la cual pueden ejercer sus facultades las Delegaciones, Subdelegaciones y Oficinas para Cobros de este instituto, situación que resulta de trascendental importancia para la validez de los actos y resoluciones dictados por los Titulares de esas unidades administrativas, que afectan la esfera jurídica de los particulares a quienes van dirigidos.</w:t>
                            </w:r>
                          </w:p>
                          <w:p w:rsidR="00EE7253" w:rsidRPr="009B2230" w:rsidRDefault="00EE7253" w:rsidP="00EE7253">
                            <w:pPr>
                              <w:spacing w:after="0" w:line="240" w:lineRule="auto"/>
                              <w:ind w:right="51"/>
                              <w:jc w:val="both"/>
                              <w:rPr>
                                <w:sz w:val="19"/>
                                <w:szCs w:val="19"/>
                              </w:rPr>
                            </w:pPr>
                          </w:p>
                          <w:p w:rsidR="00EE7253" w:rsidRPr="009B2230" w:rsidRDefault="00792697" w:rsidP="00EE7253">
                            <w:pPr>
                              <w:spacing w:after="0" w:line="240" w:lineRule="auto"/>
                              <w:ind w:right="51"/>
                              <w:jc w:val="both"/>
                              <w:rPr>
                                <w:sz w:val="19"/>
                                <w:szCs w:val="19"/>
                              </w:rPr>
                            </w:pPr>
                            <w:r w:rsidRPr="009B2230">
                              <w:rPr>
                                <w:sz w:val="19"/>
                                <w:szCs w:val="19"/>
                              </w:rPr>
                              <w:t>En este sentido, el artículo 155, del Reglamento citado, establece en sus diversas fracciones e incisos atendiendo a la Jurisprudencia de la Suprema Corte de Justicia de la Nación, el ámbito espacial de competencia de los órganos mencionados, el cual debe ser citado por éstos, con toda precisión. Como parte de la fundamentación legal de sus actos y resoluciones, a fin de observar la garantía de legalidad consagrada en el artículo 16, de la Constitución Política de los Estados Unidos Mexicanos.</w:t>
                            </w:r>
                          </w:p>
                          <w:p w:rsidR="00EE7253" w:rsidRDefault="00EE7253" w:rsidP="00EE7253">
                            <w:pPr>
                              <w:spacing w:after="0" w:line="240" w:lineRule="auto"/>
                              <w:ind w:right="51"/>
                              <w:jc w:val="both"/>
                              <w:rPr>
                                <w:sz w:val="19"/>
                                <w:szCs w:val="19"/>
                              </w:rPr>
                            </w:pPr>
                          </w:p>
                          <w:p w:rsidR="00792697" w:rsidRPr="009B2230" w:rsidRDefault="00524FFA" w:rsidP="00EE7253">
                            <w:pPr>
                              <w:spacing w:after="0" w:line="240" w:lineRule="auto"/>
                              <w:ind w:right="51"/>
                              <w:jc w:val="both"/>
                              <w:rPr>
                                <w:sz w:val="19"/>
                                <w:szCs w:val="19"/>
                              </w:rPr>
                            </w:pPr>
                            <w:r>
                              <w:rPr>
                                <w:sz w:val="19"/>
                                <w:szCs w:val="19"/>
                              </w:rPr>
                              <w:t xml:space="preserve">Se realizó </w:t>
                            </w:r>
                            <w:r w:rsidR="009B58B1">
                              <w:rPr>
                                <w:sz w:val="19"/>
                                <w:szCs w:val="19"/>
                              </w:rPr>
                              <w:t xml:space="preserve">incorporación de las facultades de las Direcciones Normativas así como de sus Unidades, </w:t>
                            </w:r>
                            <w:r w:rsidR="00792697" w:rsidRPr="009B2230">
                              <w:rPr>
                                <w:rFonts w:cs="Arial"/>
                                <w:sz w:val="19"/>
                                <w:szCs w:val="19"/>
                                <w:lang w:eastAsia="es-MX"/>
                              </w:rPr>
                              <w:t xml:space="preserve">por lo que resulta necesario actualizar el Reglamento Interior del IMSS con </w:t>
                            </w:r>
                            <w:r>
                              <w:rPr>
                                <w:rFonts w:cs="Arial"/>
                                <w:sz w:val="19"/>
                                <w:szCs w:val="19"/>
                                <w:lang w:eastAsia="es-MX"/>
                              </w:rPr>
                              <w:t>facultades</w:t>
                            </w:r>
                            <w:r w:rsidR="00792697" w:rsidRPr="009B2230">
                              <w:rPr>
                                <w:rFonts w:cs="Arial"/>
                                <w:sz w:val="19"/>
                                <w:szCs w:val="19"/>
                                <w:lang w:eastAsia="es-MX"/>
                              </w:rPr>
                              <w:t xml:space="preserve"> </w:t>
                            </w:r>
                            <w:r w:rsidR="00B366AF" w:rsidRPr="009B2230">
                              <w:rPr>
                                <w:rFonts w:cs="Arial"/>
                                <w:sz w:val="19"/>
                                <w:szCs w:val="19"/>
                                <w:lang w:eastAsia="es-MX"/>
                              </w:rPr>
                              <w:t>vigentes</w:t>
                            </w:r>
                            <w:r w:rsidR="00792697" w:rsidRPr="009B2230">
                              <w:rPr>
                                <w:rFonts w:cs="Arial"/>
                                <w:sz w:val="19"/>
                                <w:szCs w:val="19"/>
                                <w:lang w:eastAsia="es-MX"/>
                              </w:rPr>
                              <w:t xml:space="preserve">, a efecto de que las </w:t>
                            </w:r>
                            <w:r w:rsidR="00792697" w:rsidRPr="004E60E7">
                              <w:rPr>
                                <w:rFonts w:cs="Arial"/>
                                <w:sz w:val="19"/>
                                <w:szCs w:val="19"/>
                                <w:lang w:eastAsia="es-MX"/>
                              </w:rPr>
                              <w:t>jurisdicciones de las Delegaciones y Subdelegaciones y Oficinas para Cobros sean acordes con las nuevas nomenclaturas establecidas en los ordenamientos jurídicos de las entidades federativas.</w:t>
                            </w:r>
                          </w:p>
                          <w:p w:rsidR="00EE7253" w:rsidRPr="009B2230" w:rsidRDefault="00EE7253" w:rsidP="00EE7253">
                            <w:pPr>
                              <w:autoSpaceDE w:val="0"/>
                              <w:autoSpaceDN w:val="0"/>
                              <w:adjustRightInd w:val="0"/>
                              <w:spacing w:after="0" w:line="240" w:lineRule="auto"/>
                              <w:jc w:val="both"/>
                              <w:rPr>
                                <w:rFonts w:cs="Arial"/>
                                <w:sz w:val="19"/>
                                <w:szCs w:val="19"/>
                                <w:lang w:eastAsia="es-MX"/>
                              </w:rPr>
                            </w:pPr>
                          </w:p>
                          <w:p w:rsidR="00792697" w:rsidRPr="009B2230" w:rsidRDefault="00792697" w:rsidP="00EE7253">
                            <w:pPr>
                              <w:spacing w:after="0" w:line="240" w:lineRule="auto"/>
                              <w:ind w:right="51"/>
                              <w:jc w:val="both"/>
                              <w:rPr>
                                <w:sz w:val="19"/>
                                <w:szCs w:val="19"/>
                              </w:rPr>
                            </w:pPr>
                            <w:r w:rsidRPr="004E60E7">
                              <w:rPr>
                                <w:rFonts w:cs="Arial"/>
                                <w:sz w:val="19"/>
                                <w:szCs w:val="19"/>
                                <w:lang w:eastAsia="es-MX"/>
                              </w:rPr>
                              <w:t xml:space="preserve">En este orden </w:t>
                            </w:r>
                            <w:r w:rsidRPr="004E60E7">
                              <w:rPr>
                                <w:rFonts w:asciiTheme="minorHAnsi" w:hAnsiTheme="minorHAnsi" w:cs="Arial"/>
                                <w:sz w:val="19"/>
                                <w:szCs w:val="19"/>
                                <w:lang w:eastAsia="es-MX"/>
                              </w:rPr>
                              <w:t>de ideas, es necesario reformar</w:t>
                            </w:r>
                            <w:r w:rsidR="00C0631F" w:rsidRPr="004E60E7">
                              <w:rPr>
                                <w:rFonts w:asciiTheme="minorHAnsi" w:hAnsiTheme="minorHAnsi" w:cs="Arial"/>
                                <w:sz w:val="19"/>
                                <w:szCs w:val="19"/>
                                <w:lang w:eastAsia="es-MX"/>
                              </w:rPr>
                              <w:t xml:space="preserve"> y adicionar</w:t>
                            </w:r>
                            <w:r w:rsidRPr="004E60E7">
                              <w:rPr>
                                <w:rFonts w:asciiTheme="minorHAnsi" w:hAnsiTheme="minorHAnsi" w:cs="Arial"/>
                                <w:sz w:val="19"/>
                                <w:szCs w:val="19"/>
                                <w:lang w:eastAsia="es-MX"/>
                              </w:rPr>
                              <w:t>, de acuerdo al anteproyecto que se acompaña,</w:t>
                            </w:r>
                            <w:r w:rsidR="00C0631F" w:rsidRPr="004E60E7">
                              <w:rPr>
                                <w:rFonts w:asciiTheme="minorHAnsi" w:eastAsia="MS Mincho" w:hAnsiTheme="minorHAnsi" w:cs="Arial"/>
                                <w:sz w:val="19"/>
                                <w:szCs w:val="19"/>
                              </w:rPr>
                              <w:t xml:space="preserve"> </w:t>
                            </w:r>
                            <w:r w:rsidR="009B2230" w:rsidRPr="004E60E7">
                              <w:rPr>
                                <w:rFonts w:asciiTheme="minorHAnsi" w:eastAsia="MS Mincho" w:hAnsiTheme="minorHAnsi" w:cs="Arial"/>
                                <w:sz w:val="19"/>
                                <w:szCs w:val="19"/>
                              </w:rPr>
                              <w:t xml:space="preserve">los artículos </w:t>
                            </w:r>
                            <w:r w:rsidR="00C0631F" w:rsidRPr="004E60E7">
                              <w:rPr>
                                <w:rFonts w:asciiTheme="minorHAnsi" w:eastAsia="MS Mincho" w:hAnsiTheme="minorHAnsi" w:cs="Arial"/>
                                <w:sz w:val="19"/>
                                <w:szCs w:val="19"/>
                              </w:rPr>
                              <w:t xml:space="preserve">73, fracción VI; 77, fracción XII, 78, fracción IV; 79, fracción VII; 80, fracción IV; </w:t>
                            </w:r>
                            <w:r w:rsidR="004E60E7" w:rsidRPr="004E60E7">
                              <w:rPr>
                                <w:rFonts w:cs="Arial"/>
                                <w:sz w:val="19"/>
                                <w:szCs w:val="19"/>
                                <w:lang w:eastAsia="es-MX"/>
                              </w:rPr>
                              <w:t>81, fracción, I, II, III V, VII, VIII, XI, XIV; 82; fracción I, IV</w:t>
                            </w:r>
                            <w:r w:rsidR="00C0631F" w:rsidRPr="004E60E7">
                              <w:rPr>
                                <w:rFonts w:cs="Arial"/>
                                <w:sz w:val="19"/>
                                <w:szCs w:val="19"/>
                                <w:lang w:eastAsia="es-MX"/>
                              </w:rPr>
                              <w:t>;</w:t>
                            </w:r>
                            <w:r w:rsidR="00C0631F" w:rsidRPr="004E60E7">
                              <w:rPr>
                                <w:rFonts w:asciiTheme="minorHAnsi" w:eastAsia="MS Mincho" w:hAnsiTheme="minorHAnsi" w:cs="Arial"/>
                                <w:sz w:val="19"/>
                                <w:szCs w:val="19"/>
                              </w:rPr>
                              <w:t xml:space="preserve"> 141; 144, fracción XXII,</w:t>
                            </w:r>
                            <w:r w:rsidR="00C0631F" w:rsidRPr="004E60E7">
                              <w:rPr>
                                <w:rFonts w:ascii="Arial" w:eastAsia="MS Mincho" w:hAnsi="Arial" w:cs="Arial"/>
                                <w:sz w:val="19"/>
                                <w:szCs w:val="19"/>
                              </w:rPr>
                              <w:t xml:space="preserve"> </w:t>
                            </w:r>
                            <w:r w:rsidRPr="004E60E7">
                              <w:rPr>
                                <w:rFonts w:cs="Arial"/>
                                <w:sz w:val="19"/>
                                <w:szCs w:val="19"/>
                                <w:lang w:eastAsia="es-MX"/>
                              </w:rPr>
                              <w:t xml:space="preserve"> respecto de la Ciudad de México y el artículo 155 del Reglamento Interior de Instituto Mexicano del Seguro Social en las fracciones e incisos relativos a la jurisdicción de las Delegaciones, Subdelegaciones y Oficinas para Cobros en los Estados de Aguascalientes, </w:t>
                            </w:r>
                            <w:r w:rsidR="00C0631F" w:rsidRPr="004E60E7">
                              <w:rPr>
                                <w:rFonts w:cs="Arial"/>
                                <w:sz w:val="19"/>
                                <w:szCs w:val="19"/>
                                <w:lang w:eastAsia="es-MX"/>
                              </w:rPr>
                              <w:t xml:space="preserve">Campeche, Coahuila,  </w:t>
                            </w:r>
                            <w:r w:rsidRPr="004E60E7">
                              <w:rPr>
                                <w:rFonts w:cs="Arial"/>
                                <w:sz w:val="19"/>
                                <w:szCs w:val="19"/>
                                <w:lang w:eastAsia="es-MX"/>
                              </w:rPr>
                              <w:t xml:space="preserve">Chiapas, </w:t>
                            </w:r>
                            <w:r w:rsidR="00C0631F" w:rsidRPr="004E60E7">
                              <w:rPr>
                                <w:rFonts w:cs="Arial"/>
                                <w:sz w:val="19"/>
                                <w:szCs w:val="19"/>
                                <w:lang w:eastAsia="es-MX"/>
                              </w:rPr>
                              <w:t xml:space="preserve">Chihuahua, </w:t>
                            </w:r>
                            <w:r w:rsidRPr="004E60E7">
                              <w:rPr>
                                <w:rFonts w:cs="Arial"/>
                                <w:sz w:val="19"/>
                                <w:szCs w:val="19"/>
                                <w:lang w:eastAsia="es-MX"/>
                              </w:rPr>
                              <w:t xml:space="preserve">Guanajuato, Guerrero, Hidalgo, Jalisco, </w:t>
                            </w:r>
                            <w:r w:rsidR="00211E79" w:rsidRPr="004E60E7">
                              <w:rPr>
                                <w:rFonts w:cs="Arial"/>
                                <w:sz w:val="19"/>
                                <w:szCs w:val="19"/>
                                <w:lang w:eastAsia="es-MX"/>
                              </w:rPr>
                              <w:t xml:space="preserve">Estado de México Oriente, Estado de México Poniente, </w:t>
                            </w:r>
                            <w:r w:rsidRPr="004E60E7">
                              <w:rPr>
                                <w:rFonts w:cs="Arial"/>
                                <w:sz w:val="19"/>
                                <w:szCs w:val="19"/>
                                <w:lang w:eastAsia="es-MX"/>
                              </w:rPr>
                              <w:t xml:space="preserve">Michoacán, </w:t>
                            </w:r>
                            <w:r w:rsidR="00211E79" w:rsidRPr="004E60E7">
                              <w:rPr>
                                <w:rFonts w:cs="Arial"/>
                                <w:sz w:val="19"/>
                                <w:szCs w:val="19"/>
                                <w:lang w:eastAsia="es-MX"/>
                              </w:rPr>
                              <w:t xml:space="preserve">Morelos, Nayarit, Nuevo León, Oaxaca, Puebla, Quintana Roo, </w:t>
                            </w:r>
                            <w:r w:rsidRPr="004E60E7">
                              <w:rPr>
                                <w:rFonts w:cs="Arial"/>
                                <w:sz w:val="19"/>
                                <w:szCs w:val="19"/>
                                <w:lang w:eastAsia="es-MX"/>
                              </w:rPr>
                              <w:t>S</w:t>
                            </w:r>
                            <w:r w:rsidR="00211E79" w:rsidRPr="004E60E7">
                              <w:rPr>
                                <w:rFonts w:cs="Arial"/>
                                <w:sz w:val="19"/>
                                <w:szCs w:val="19"/>
                                <w:lang w:eastAsia="es-MX"/>
                              </w:rPr>
                              <w:t>an Luis Potosí, Si</w:t>
                            </w:r>
                            <w:r w:rsidRPr="004E60E7">
                              <w:rPr>
                                <w:rFonts w:cs="Arial"/>
                                <w:sz w:val="19"/>
                                <w:szCs w:val="19"/>
                                <w:lang w:eastAsia="es-MX"/>
                              </w:rPr>
                              <w:t>naloa, Sonora, Tabasco, Tamaulipas, Tlaxcala</w:t>
                            </w:r>
                            <w:r w:rsidR="009B2230" w:rsidRPr="004E60E7">
                              <w:rPr>
                                <w:rFonts w:cs="Arial"/>
                                <w:sz w:val="19"/>
                                <w:szCs w:val="19"/>
                                <w:lang w:eastAsia="es-MX"/>
                              </w:rPr>
                              <w:t xml:space="preserve">, </w:t>
                            </w:r>
                            <w:r w:rsidRPr="004E60E7">
                              <w:rPr>
                                <w:rFonts w:cs="Arial"/>
                                <w:sz w:val="19"/>
                                <w:szCs w:val="19"/>
                                <w:lang w:eastAsia="es-MX"/>
                              </w:rPr>
                              <w:t xml:space="preserve">Veracruz (Norte y Sur), </w:t>
                            </w:r>
                            <w:r w:rsidR="00211E79" w:rsidRPr="004E60E7">
                              <w:rPr>
                                <w:rFonts w:cs="Arial"/>
                                <w:sz w:val="19"/>
                                <w:szCs w:val="19"/>
                                <w:lang w:eastAsia="es-MX"/>
                              </w:rPr>
                              <w:t xml:space="preserve">Yucatán, </w:t>
                            </w:r>
                            <w:r w:rsidRPr="004E60E7">
                              <w:rPr>
                                <w:rFonts w:cs="Arial"/>
                                <w:sz w:val="19"/>
                                <w:szCs w:val="19"/>
                                <w:lang w:eastAsia="es-MX"/>
                              </w:rPr>
                              <w:t>Zacatecas y Distrito Federal (Norte y Sur), con el objeto de dar seguridad jurídica tanto a los particulares residentes en esos Estados, como a los emitidos por los servidores públicos de este Organismo que ejercen sus facultades en dichas entidades.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45pt;margin-top:-.1pt;width:501.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">
                <v:textbox style="mso-fit-shape-to-text:t">
                  <w:txbxContent>
                    <w:p w:rsidR="00792697" w:rsidRPr="000854CE" w:rsidRDefault="00792697" w:rsidP="00EE7253">
                      <w:pPr>
                        <w:spacing w:after="0" w:line="240" w:lineRule="auto"/>
                        <w:ind w:right="51"/>
                        <w:jc w:val="both"/>
                        <w:rPr>
                          <w:sz w:val="20"/>
                          <w:szCs w:val="20"/>
                        </w:rPr>
                      </w:pPr>
                      <w:r w:rsidRPr="000854CE">
                        <w:rPr>
                          <w:sz w:val="20"/>
                          <w:szCs w:val="20"/>
                        </w:rPr>
                        <w:t>1. Explique brevemente en qué consiste la regulación propuesta así como sus objetivos generales.</w:t>
                      </w:r>
                    </w:p>
                    <w:p w:rsidR="00EE7253" w:rsidRPr="00EE7253" w:rsidRDefault="00EE7253" w:rsidP="00EE7253">
                      <w:pPr>
                        <w:spacing w:after="0" w:line="240" w:lineRule="auto"/>
                        <w:ind w:right="51"/>
                        <w:jc w:val="both"/>
                        <w:rPr>
                          <w:sz w:val="20"/>
                          <w:szCs w:val="20"/>
                        </w:rPr>
                      </w:pPr>
                    </w:p>
                    <w:p w:rsidR="00792697" w:rsidRPr="009B2230" w:rsidRDefault="00792697" w:rsidP="00EE7253">
                      <w:pPr>
                        <w:spacing w:after="0" w:line="240" w:lineRule="auto"/>
                        <w:ind w:right="51"/>
                        <w:jc w:val="both"/>
                        <w:rPr>
                          <w:sz w:val="19"/>
                          <w:szCs w:val="19"/>
                        </w:rPr>
                      </w:pPr>
                      <w:r w:rsidRPr="009B2230">
                        <w:rPr>
                          <w:sz w:val="19"/>
                          <w:szCs w:val="19"/>
                        </w:rPr>
                        <w:t>El reglamento Interior del Instituto Mexicano del Seguro Social regula, entre otros aspectos, la determinación de la circunscripción territorial dentro de la cual pueden ejercer sus facultades las Delegaciones, Subdelegaciones y Oficinas para Cobros de este instituto, situación que resulta de trascendental importancia para la validez de los actos y resoluciones dictados por los Titulares de esas unidades administrativas, que afectan la esfera jurídica de los particulares a quienes van dirigidos.</w:t>
                      </w:r>
                    </w:p>
                    <w:p w:rsidR="00EE7253" w:rsidRPr="009B2230" w:rsidRDefault="00EE7253" w:rsidP="00EE7253">
                      <w:pPr>
                        <w:spacing w:after="0" w:line="240" w:lineRule="auto"/>
                        <w:ind w:right="51"/>
                        <w:jc w:val="both"/>
                        <w:rPr>
                          <w:sz w:val="19"/>
                          <w:szCs w:val="19"/>
                        </w:rPr>
                      </w:pPr>
                    </w:p>
                    <w:p w:rsidR="00EE7253" w:rsidRPr="009B2230" w:rsidRDefault="00792697" w:rsidP="00EE7253">
                      <w:pPr>
                        <w:spacing w:after="0" w:line="240" w:lineRule="auto"/>
                        <w:ind w:right="51"/>
                        <w:jc w:val="both"/>
                        <w:rPr>
                          <w:sz w:val="19"/>
                          <w:szCs w:val="19"/>
                        </w:rPr>
                      </w:pPr>
                      <w:r w:rsidRPr="009B2230">
                        <w:rPr>
                          <w:sz w:val="19"/>
                          <w:szCs w:val="19"/>
                        </w:rPr>
                        <w:t>En este sentido, el artículo 155, del Reglamento citado, establece en sus diversas fracciones e incisos atendiendo a la Jurisprudencia de la Suprema Corte de Justicia de la Nación, el ámbito espacial de competencia de los órganos mencionados, el cual debe ser citado por éstos, con toda precisión. Como parte de la fundamentación legal de sus actos y resoluciones, a fin de observar la garantía de legalidad consagrada en el artículo 16, de la Constitución Política de los Estados Unidos Mexicanos.</w:t>
                      </w:r>
                    </w:p>
                    <w:p w:rsidR="00EE7253" w:rsidRDefault="00EE7253" w:rsidP="00EE7253">
                      <w:pPr>
                        <w:spacing w:after="0" w:line="240" w:lineRule="auto"/>
                        <w:ind w:right="51"/>
                        <w:jc w:val="both"/>
                        <w:rPr>
                          <w:sz w:val="19"/>
                          <w:szCs w:val="19"/>
                        </w:rPr>
                      </w:pPr>
                    </w:p>
                    <w:p w:rsidR="00792697" w:rsidRPr="009B2230" w:rsidRDefault="00524FFA" w:rsidP="00EE7253">
                      <w:pPr>
                        <w:spacing w:after="0" w:line="240" w:lineRule="auto"/>
                        <w:ind w:right="51"/>
                        <w:jc w:val="both"/>
                        <w:rPr>
                          <w:sz w:val="19"/>
                          <w:szCs w:val="19"/>
                        </w:rPr>
                      </w:pPr>
                      <w:r>
                        <w:rPr>
                          <w:sz w:val="19"/>
                          <w:szCs w:val="19"/>
                        </w:rPr>
                        <w:t xml:space="preserve">Se realizó </w:t>
                      </w:r>
                      <w:r w:rsidR="009B58B1">
                        <w:rPr>
                          <w:sz w:val="19"/>
                          <w:szCs w:val="19"/>
                        </w:rPr>
                        <w:t xml:space="preserve">incorporación de las facultades de las Direcciones Normativas así como de sus Unidades, </w:t>
                      </w:r>
                      <w:r w:rsidR="00792697" w:rsidRPr="009B2230">
                        <w:rPr>
                          <w:rFonts w:cs="Arial"/>
                          <w:sz w:val="19"/>
                          <w:szCs w:val="19"/>
                          <w:lang w:eastAsia="es-MX"/>
                        </w:rPr>
                        <w:t xml:space="preserve">por lo que resulta necesario actualizar el Reglamento Interior del IMSS con </w:t>
                      </w:r>
                      <w:r>
                        <w:rPr>
                          <w:rFonts w:cs="Arial"/>
                          <w:sz w:val="19"/>
                          <w:szCs w:val="19"/>
                          <w:lang w:eastAsia="es-MX"/>
                        </w:rPr>
                        <w:t>facultades</w:t>
                      </w:r>
                      <w:r w:rsidR="00792697" w:rsidRPr="009B2230">
                        <w:rPr>
                          <w:rFonts w:cs="Arial"/>
                          <w:sz w:val="19"/>
                          <w:szCs w:val="19"/>
                          <w:lang w:eastAsia="es-MX"/>
                        </w:rPr>
                        <w:t xml:space="preserve"> </w:t>
                      </w:r>
                      <w:r w:rsidR="00B366AF" w:rsidRPr="009B2230">
                        <w:rPr>
                          <w:rFonts w:cs="Arial"/>
                          <w:sz w:val="19"/>
                          <w:szCs w:val="19"/>
                          <w:lang w:eastAsia="es-MX"/>
                        </w:rPr>
                        <w:t>vigentes</w:t>
                      </w:r>
                      <w:r w:rsidR="00792697" w:rsidRPr="009B2230">
                        <w:rPr>
                          <w:rFonts w:cs="Arial"/>
                          <w:sz w:val="19"/>
                          <w:szCs w:val="19"/>
                          <w:lang w:eastAsia="es-MX"/>
                        </w:rPr>
                        <w:t xml:space="preserve">, a efecto de que las </w:t>
                      </w:r>
                      <w:r w:rsidR="00792697" w:rsidRPr="004E60E7">
                        <w:rPr>
                          <w:rFonts w:cs="Arial"/>
                          <w:sz w:val="19"/>
                          <w:szCs w:val="19"/>
                          <w:lang w:eastAsia="es-MX"/>
                        </w:rPr>
                        <w:t>jurisdicciones de las Delegaciones y Subdelegaciones y Oficinas para Cobros sean acordes con las nuevas nomenclaturas establecidas en los ordenamientos jurídicos de las entidades federativas.</w:t>
                      </w:r>
                    </w:p>
                    <w:p w:rsidR="00EE7253" w:rsidRPr="009B2230" w:rsidRDefault="00EE7253" w:rsidP="00EE7253">
                      <w:pPr>
                        <w:autoSpaceDE w:val="0"/>
                        <w:autoSpaceDN w:val="0"/>
                        <w:adjustRightInd w:val="0"/>
                        <w:spacing w:after="0" w:line="240" w:lineRule="auto"/>
                        <w:jc w:val="both"/>
                        <w:rPr>
                          <w:rFonts w:cs="Arial"/>
                          <w:sz w:val="19"/>
                          <w:szCs w:val="19"/>
                          <w:lang w:eastAsia="es-MX"/>
                        </w:rPr>
                      </w:pPr>
                    </w:p>
                    <w:p w:rsidR="00792697" w:rsidRPr="009B2230" w:rsidRDefault="00792697" w:rsidP="00EE7253">
                      <w:pPr>
                        <w:spacing w:after="0" w:line="240" w:lineRule="auto"/>
                        <w:ind w:right="51"/>
                        <w:jc w:val="both"/>
                        <w:rPr>
                          <w:sz w:val="19"/>
                          <w:szCs w:val="19"/>
                        </w:rPr>
                      </w:pPr>
                      <w:r w:rsidRPr="004E60E7">
                        <w:rPr>
                          <w:rFonts w:cs="Arial"/>
                          <w:sz w:val="19"/>
                          <w:szCs w:val="19"/>
                          <w:lang w:eastAsia="es-MX"/>
                        </w:rPr>
                        <w:t xml:space="preserve">En este orden </w:t>
                      </w:r>
                      <w:r w:rsidRPr="004E60E7">
                        <w:rPr>
                          <w:rFonts w:asciiTheme="minorHAnsi" w:hAnsiTheme="minorHAnsi" w:cs="Arial"/>
                          <w:sz w:val="19"/>
                          <w:szCs w:val="19"/>
                          <w:lang w:eastAsia="es-MX"/>
                        </w:rPr>
                        <w:t>de ideas, es necesario reformar</w:t>
                      </w:r>
                      <w:r w:rsidR="00C0631F" w:rsidRPr="004E60E7">
                        <w:rPr>
                          <w:rFonts w:asciiTheme="minorHAnsi" w:hAnsiTheme="minorHAnsi" w:cs="Arial"/>
                          <w:sz w:val="19"/>
                          <w:szCs w:val="19"/>
                          <w:lang w:eastAsia="es-MX"/>
                        </w:rPr>
                        <w:t xml:space="preserve"> y adicionar</w:t>
                      </w:r>
                      <w:r w:rsidRPr="004E60E7">
                        <w:rPr>
                          <w:rFonts w:asciiTheme="minorHAnsi" w:hAnsiTheme="minorHAnsi" w:cs="Arial"/>
                          <w:sz w:val="19"/>
                          <w:szCs w:val="19"/>
                          <w:lang w:eastAsia="es-MX"/>
                        </w:rPr>
                        <w:t>, de acuerdo al anteproyecto que se acompaña,</w:t>
                      </w:r>
                      <w:r w:rsidR="00C0631F" w:rsidRPr="004E60E7">
                        <w:rPr>
                          <w:rFonts w:asciiTheme="minorHAnsi" w:eastAsia="MS Mincho" w:hAnsiTheme="minorHAnsi" w:cs="Arial"/>
                          <w:sz w:val="19"/>
                          <w:szCs w:val="19"/>
                        </w:rPr>
                        <w:t xml:space="preserve"> </w:t>
                      </w:r>
                      <w:r w:rsidR="009B2230" w:rsidRPr="004E60E7">
                        <w:rPr>
                          <w:rFonts w:asciiTheme="minorHAnsi" w:eastAsia="MS Mincho" w:hAnsiTheme="minorHAnsi" w:cs="Arial"/>
                          <w:sz w:val="19"/>
                          <w:szCs w:val="19"/>
                        </w:rPr>
                        <w:t xml:space="preserve">los artículos </w:t>
                      </w:r>
                      <w:r w:rsidR="00C0631F" w:rsidRPr="004E60E7">
                        <w:rPr>
                          <w:rFonts w:asciiTheme="minorHAnsi" w:eastAsia="MS Mincho" w:hAnsiTheme="minorHAnsi" w:cs="Arial"/>
                          <w:sz w:val="19"/>
                          <w:szCs w:val="19"/>
                        </w:rPr>
                        <w:t xml:space="preserve">73, fracción VI; 77, fracción XII, 78, fracción IV; 79, fracción VII; 80, fracción IV; </w:t>
                      </w:r>
                      <w:r w:rsidR="004E60E7" w:rsidRPr="004E60E7">
                        <w:rPr>
                          <w:rFonts w:cs="Arial"/>
                          <w:sz w:val="19"/>
                          <w:szCs w:val="19"/>
                          <w:lang w:eastAsia="es-MX"/>
                        </w:rPr>
                        <w:t>81, fracción, I, II, III V, VII, VIII, XI, XIV; 82; fracción I, IV</w:t>
                      </w:r>
                      <w:r w:rsidR="00C0631F" w:rsidRPr="004E60E7">
                        <w:rPr>
                          <w:rFonts w:cs="Arial"/>
                          <w:sz w:val="19"/>
                          <w:szCs w:val="19"/>
                          <w:lang w:eastAsia="es-MX"/>
                        </w:rPr>
                        <w:t>;</w:t>
                      </w:r>
                      <w:r w:rsidR="00C0631F" w:rsidRPr="004E60E7">
                        <w:rPr>
                          <w:rFonts w:asciiTheme="minorHAnsi" w:eastAsia="MS Mincho" w:hAnsiTheme="minorHAnsi" w:cs="Arial"/>
                          <w:sz w:val="19"/>
                          <w:szCs w:val="19"/>
                        </w:rPr>
                        <w:t xml:space="preserve"> 141; 144, fracción XXII,</w:t>
                      </w:r>
                      <w:r w:rsidR="00C0631F" w:rsidRPr="004E60E7">
                        <w:rPr>
                          <w:rFonts w:ascii="Arial" w:eastAsia="MS Mincho" w:hAnsi="Arial" w:cs="Arial"/>
                          <w:sz w:val="19"/>
                          <w:szCs w:val="19"/>
                        </w:rPr>
                        <w:t xml:space="preserve"> </w:t>
                      </w:r>
                      <w:r w:rsidRPr="004E60E7">
                        <w:rPr>
                          <w:rFonts w:cs="Arial"/>
                          <w:sz w:val="19"/>
                          <w:szCs w:val="19"/>
                          <w:lang w:eastAsia="es-MX"/>
                        </w:rPr>
                        <w:t xml:space="preserve"> respecto de la Ciudad de México y el artículo 155 del Reglamento Interior de Instituto Mexicano del Seguro Social en las fracciones e incisos relativos a la jurisdicción de las Delegaciones, Subdelegaciones y Oficinas para Cobros en los Estados de Aguascalientes, </w:t>
                      </w:r>
                      <w:r w:rsidR="00C0631F" w:rsidRPr="004E60E7">
                        <w:rPr>
                          <w:rFonts w:cs="Arial"/>
                          <w:sz w:val="19"/>
                          <w:szCs w:val="19"/>
                          <w:lang w:eastAsia="es-MX"/>
                        </w:rPr>
                        <w:t xml:space="preserve">Campeche, Coahuila,  </w:t>
                      </w:r>
                      <w:r w:rsidRPr="004E60E7">
                        <w:rPr>
                          <w:rFonts w:cs="Arial"/>
                          <w:sz w:val="19"/>
                          <w:szCs w:val="19"/>
                          <w:lang w:eastAsia="es-MX"/>
                        </w:rPr>
                        <w:t xml:space="preserve">Chiapas, </w:t>
                      </w:r>
                      <w:r w:rsidR="00C0631F" w:rsidRPr="004E60E7">
                        <w:rPr>
                          <w:rFonts w:cs="Arial"/>
                          <w:sz w:val="19"/>
                          <w:szCs w:val="19"/>
                          <w:lang w:eastAsia="es-MX"/>
                        </w:rPr>
                        <w:t xml:space="preserve">Chihuahua, </w:t>
                      </w:r>
                      <w:r w:rsidRPr="004E60E7">
                        <w:rPr>
                          <w:rFonts w:cs="Arial"/>
                          <w:sz w:val="19"/>
                          <w:szCs w:val="19"/>
                          <w:lang w:eastAsia="es-MX"/>
                        </w:rPr>
                        <w:t xml:space="preserve">Guanajuato, Guerrero, Hidalgo, Jalisco, </w:t>
                      </w:r>
                      <w:r w:rsidR="00211E79" w:rsidRPr="004E60E7">
                        <w:rPr>
                          <w:rFonts w:cs="Arial"/>
                          <w:sz w:val="19"/>
                          <w:szCs w:val="19"/>
                          <w:lang w:eastAsia="es-MX"/>
                        </w:rPr>
                        <w:t xml:space="preserve">Estado de México Oriente, Estado de México Poniente, </w:t>
                      </w:r>
                      <w:r w:rsidRPr="004E60E7">
                        <w:rPr>
                          <w:rFonts w:cs="Arial"/>
                          <w:sz w:val="19"/>
                          <w:szCs w:val="19"/>
                          <w:lang w:eastAsia="es-MX"/>
                        </w:rPr>
                        <w:t xml:space="preserve">Michoacán, </w:t>
                      </w:r>
                      <w:r w:rsidR="00211E79" w:rsidRPr="004E60E7">
                        <w:rPr>
                          <w:rFonts w:cs="Arial"/>
                          <w:sz w:val="19"/>
                          <w:szCs w:val="19"/>
                          <w:lang w:eastAsia="es-MX"/>
                        </w:rPr>
                        <w:t xml:space="preserve">Morelos, Nayarit, Nuevo León, Oaxaca, Puebla, Quintana Roo, </w:t>
                      </w:r>
                      <w:r w:rsidRPr="004E60E7">
                        <w:rPr>
                          <w:rFonts w:cs="Arial"/>
                          <w:sz w:val="19"/>
                          <w:szCs w:val="19"/>
                          <w:lang w:eastAsia="es-MX"/>
                        </w:rPr>
                        <w:t>S</w:t>
                      </w:r>
                      <w:r w:rsidR="00211E79" w:rsidRPr="004E60E7">
                        <w:rPr>
                          <w:rFonts w:cs="Arial"/>
                          <w:sz w:val="19"/>
                          <w:szCs w:val="19"/>
                          <w:lang w:eastAsia="es-MX"/>
                        </w:rPr>
                        <w:t>an Luis Potosí, Si</w:t>
                      </w:r>
                      <w:r w:rsidRPr="004E60E7">
                        <w:rPr>
                          <w:rFonts w:cs="Arial"/>
                          <w:sz w:val="19"/>
                          <w:szCs w:val="19"/>
                          <w:lang w:eastAsia="es-MX"/>
                        </w:rPr>
                        <w:t>naloa, Sonora, Tabasco, Tamaulipas, Tlaxcala</w:t>
                      </w:r>
                      <w:r w:rsidR="009B2230" w:rsidRPr="004E60E7">
                        <w:rPr>
                          <w:rFonts w:cs="Arial"/>
                          <w:sz w:val="19"/>
                          <w:szCs w:val="19"/>
                          <w:lang w:eastAsia="es-MX"/>
                        </w:rPr>
                        <w:t xml:space="preserve">, </w:t>
                      </w:r>
                      <w:r w:rsidRPr="004E60E7">
                        <w:rPr>
                          <w:rFonts w:cs="Arial"/>
                          <w:sz w:val="19"/>
                          <w:szCs w:val="19"/>
                          <w:lang w:eastAsia="es-MX"/>
                        </w:rPr>
                        <w:t xml:space="preserve">Veracruz (Norte y Sur), </w:t>
                      </w:r>
                      <w:r w:rsidR="00211E79" w:rsidRPr="004E60E7">
                        <w:rPr>
                          <w:rFonts w:cs="Arial"/>
                          <w:sz w:val="19"/>
                          <w:szCs w:val="19"/>
                          <w:lang w:eastAsia="es-MX"/>
                        </w:rPr>
                        <w:t xml:space="preserve">Yucatán, </w:t>
                      </w:r>
                      <w:r w:rsidRPr="004E60E7">
                        <w:rPr>
                          <w:rFonts w:cs="Arial"/>
                          <w:sz w:val="19"/>
                          <w:szCs w:val="19"/>
                          <w:lang w:eastAsia="es-MX"/>
                        </w:rPr>
                        <w:t>Zacatecas y Distrito Federal (Norte y Sur), con el objeto de dar seguridad jurídica tanto a los particulares residentes en esos Estados, como a los emitidos por los servidores públicos de este Organismo que ejercen sus facultades en dichas entidades.</w:t>
                      </w:r>
                    </w:p>
                  </w:txbxContent>
                </v:textbox>
              </v:shape>
            </w:pict>
          </mc:Fallback>
        </mc:AlternateContent>
      </w:r>
    </w:p>
    <w:p w:rsidR="00792697" w:rsidRDefault="00792697" w:rsidP="007F26B1">
      <w:pPr>
        <w:spacing w:before="60" w:after="240" w:line="264" w:lineRule="auto"/>
        <w:ind w:right="51"/>
        <w:jc w:val="both"/>
        <w:rPr>
          <w:rFonts w:ascii="Soberana Sans" w:hAnsi="Soberana Sans"/>
        </w:rPr>
      </w:pPr>
    </w:p>
    <w:p w:rsidR="00792697" w:rsidRDefault="00792697" w:rsidP="007F26B1">
      <w:pPr>
        <w:spacing w:before="60" w:after="240" w:line="264" w:lineRule="auto"/>
        <w:ind w:right="51"/>
        <w:jc w:val="both"/>
        <w:rPr>
          <w:rFonts w:ascii="Soberana Sans" w:hAnsi="Soberana Sans"/>
        </w:rPr>
      </w:pPr>
    </w:p>
    <w:p w:rsidR="00792697" w:rsidRDefault="00792697" w:rsidP="007F26B1">
      <w:pPr>
        <w:spacing w:before="60" w:after="240" w:line="264" w:lineRule="auto"/>
        <w:ind w:right="51"/>
        <w:jc w:val="both"/>
        <w:rPr>
          <w:rFonts w:ascii="Soberana Sans" w:hAnsi="Soberana Sans"/>
        </w:rPr>
      </w:pPr>
    </w:p>
    <w:p w:rsidR="00792697" w:rsidRDefault="00792697" w:rsidP="007F26B1">
      <w:pPr>
        <w:spacing w:before="60" w:after="240" w:line="264" w:lineRule="auto"/>
        <w:ind w:right="51"/>
        <w:jc w:val="both"/>
        <w:rPr>
          <w:rFonts w:ascii="Soberana Sans" w:hAnsi="Soberana Sans"/>
        </w:rPr>
      </w:pPr>
    </w:p>
    <w:p w:rsidR="00792697" w:rsidRDefault="00792697" w:rsidP="007F26B1">
      <w:pPr>
        <w:spacing w:before="60" w:after="240" w:line="264" w:lineRule="auto"/>
        <w:ind w:right="51"/>
        <w:jc w:val="both"/>
        <w:rPr>
          <w:rFonts w:ascii="Soberana Sans" w:hAnsi="Soberana Sans"/>
        </w:rPr>
      </w:pPr>
    </w:p>
    <w:p w:rsidR="00792697" w:rsidRDefault="00792697" w:rsidP="007F26B1">
      <w:pPr>
        <w:spacing w:before="60" w:after="240" w:line="264" w:lineRule="auto"/>
        <w:ind w:right="51"/>
        <w:jc w:val="both"/>
        <w:rPr>
          <w:rFonts w:ascii="Soberana Sans" w:hAnsi="Soberana Sans"/>
        </w:rPr>
      </w:pPr>
    </w:p>
    <w:p w:rsidR="00792697" w:rsidRDefault="00792697" w:rsidP="007F26B1">
      <w:pPr>
        <w:spacing w:before="60" w:after="240" w:line="264" w:lineRule="auto"/>
        <w:ind w:right="51"/>
        <w:jc w:val="both"/>
        <w:rPr>
          <w:rFonts w:ascii="Soberana Sans" w:hAnsi="Soberana Sans"/>
        </w:rPr>
      </w:pPr>
    </w:p>
    <w:p w:rsidR="00792697" w:rsidRDefault="00792697" w:rsidP="007F26B1">
      <w:pPr>
        <w:spacing w:before="60" w:after="240" w:line="264" w:lineRule="auto"/>
        <w:ind w:right="51"/>
        <w:jc w:val="both"/>
        <w:rPr>
          <w:rFonts w:ascii="Soberana Sans" w:hAnsi="Soberana Sans"/>
        </w:rPr>
      </w:pPr>
    </w:p>
    <w:p w:rsidR="00792697" w:rsidRDefault="00EE7253" w:rsidP="00EE7253">
      <w:pPr>
        <w:tabs>
          <w:tab w:val="left" w:pos="6824"/>
        </w:tabs>
        <w:spacing w:before="60" w:after="240" w:line="264" w:lineRule="auto"/>
        <w:ind w:right="51"/>
        <w:jc w:val="both"/>
        <w:rPr>
          <w:rFonts w:ascii="Soberana Sans" w:hAnsi="Soberana Sans"/>
        </w:rPr>
      </w:pPr>
      <w:r>
        <w:rPr>
          <w:rFonts w:ascii="Soberana Sans" w:hAnsi="Soberana Sans"/>
        </w:rPr>
        <w:tab/>
      </w:r>
    </w:p>
    <w:p w:rsidR="00EE7253" w:rsidRDefault="00EE7253" w:rsidP="00EE7253">
      <w:pPr>
        <w:tabs>
          <w:tab w:val="left" w:pos="6824"/>
        </w:tabs>
        <w:spacing w:before="60" w:after="240" w:line="264" w:lineRule="auto"/>
        <w:ind w:right="51"/>
        <w:jc w:val="both"/>
        <w:rPr>
          <w:rFonts w:ascii="Soberana Sans" w:hAnsi="Soberana Sans"/>
        </w:rPr>
      </w:pPr>
    </w:p>
    <w:p w:rsidR="00EE7253" w:rsidRDefault="00EE7253" w:rsidP="00EE7253">
      <w:pPr>
        <w:tabs>
          <w:tab w:val="left" w:pos="6824"/>
        </w:tabs>
        <w:spacing w:before="60" w:after="240" w:line="264" w:lineRule="auto"/>
        <w:ind w:right="51"/>
        <w:jc w:val="both"/>
        <w:rPr>
          <w:rFonts w:ascii="Soberana Sans" w:hAnsi="Soberana Sans"/>
        </w:rPr>
      </w:pPr>
    </w:p>
    <w:p w:rsidR="00EE7253" w:rsidRDefault="00EE7253" w:rsidP="00EE7253">
      <w:pPr>
        <w:tabs>
          <w:tab w:val="left" w:pos="6824"/>
        </w:tabs>
        <w:spacing w:before="60" w:after="240" w:line="264" w:lineRule="auto"/>
        <w:ind w:right="51"/>
        <w:jc w:val="both"/>
        <w:rPr>
          <w:rFonts w:ascii="Soberana Sans" w:hAnsi="Soberana Sans"/>
        </w:rPr>
      </w:pPr>
    </w:p>
    <w:tbl>
      <w:tblPr>
        <w:tblW w:w="0" w:type="auto"/>
        <w:jc w:val="center"/>
        <w:tblInd w:w="-4693" w:type="dxa"/>
        <w:tblBorders>
          <w:top w:val="single" w:sz="4" w:space="0" w:color="000000"/>
          <w:left w:val="single" w:sz="4" w:space="0" w:color="000000"/>
          <w:bottom w:val="single" w:sz="4"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7665"/>
        <w:gridCol w:w="2438"/>
      </w:tblGrid>
      <w:tr w:rsidR="00247DFB" w:rsidRPr="00287B57" w:rsidTr="00287B57">
        <w:trPr>
          <w:trHeight w:val="204"/>
          <w:jc w:val="center"/>
        </w:trPr>
        <w:tc>
          <w:tcPr>
            <w:tcW w:w="7665" w:type="dxa"/>
            <w:vMerge w:val="restart"/>
            <w:tcBorders>
              <w:right w:val="single" w:sz="12" w:space="0" w:color="000000"/>
            </w:tcBorders>
          </w:tcPr>
          <w:p w:rsidR="00247DFB" w:rsidRPr="00287B57" w:rsidRDefault="00486183" w:rsidP="00EE7253">
            <w:pPr>
              <w:tabs>
                <w:tab w:val="left" w:pos="9923"/>
              </w:tabs>
              <w:spacing w:after="240" w:line="240" w:lineRule="auto"/>
              <w:ind w:right="51"/>
              <w:jc w:val="both"/>
              <w:rPr>
                <w:noProof/>
                <w:sz w:val="20"/>
                <w:lang w:eastAsia="es-MX"/>
              </w:rPr>
            </w:pPr>
            <w:r>
              <w:rPr>
                <w:noProof/>
                <w:lang w:eastAsia="es-MX"/>
              </w:rPr>
              <mc:AlternateContent>
                <mc:Choice Requires="wps">
                  <w:drawing>
                    <wp:anchor distT="0" distB="0" distL="120396" distR="115788" simplePos="0" relativeHeight="251657216" behindDoc="0" locked="0" layoutInCell="1" allowOverlap="1" wp14:anchorId="03D89938" wp14:editId="277AB31E">
                      <wp:simplePos x="0" y="0"/>
                      <wp:positionH relativeFrom="column">
                        <wp:posOffset>4724146</wp:posOffset>
                      </wp:positionH>
                      <wp:positionV relativeFrom="paragraph">
                        <wp:posOffset>86360</wp:posOffset>
                      </wp:positionV>
                      <wp:extent cx="151130" cy="136525"/>
                      <wp:effectExtent l="0" t="0" r="20320" b="15875"/>
                      <wp:wrapNone/>
                      <wp:docPr id="8" name="25 Combina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190" cy="214314"/>
                              </a:xfrm>
                              <a:prstGeom prst="flowChartMerg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25 Combinar" o:spid="_x0000_s1026" type="#_x0000_t128" style="position:absolute;margin-left:372pt;margin-top:6.8pt;width:11.9pt;height:10.75pt;z-index:251657216;visibility:visible;mso-wrap-style:square;mso-width-percent:0;mso-height-percent:0;mso-wrap-distance-left:9.48pt;mso-wrap-distance-top:0;mso-wrap-distance-right:3.21633mm;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" fillcolor="#a5a5a5 [2092]" strokecolor="#243f60 [1604]" strokeweight="2pt">
                      <v:path arrowok="t"/>
                    </v:shape>
                  </w:pict>
                </mc:Fallback>
              </mc:AlternateContent>
            </w:r>
            <w:r w:rsidR="00EE7253">
              <w:rPr>
                <w:noProof/>
                <w:sz w:val="20"/>
                <w:lang w:eastAsia="es-MX"/>
              </w:rPr>
              <w:t>2</w:t>
            </w:r>
            <w:r w:rsidR="00247DFB" w:rsidRPr="00287B57">
              <w:rPr>
                <w:noProof/>
                <w:sz w:val="20"/>
                <w:lang w:eastAsia="es-MX"/>
              </w:rPr>
              <w:t>. Indique si se solicita la no publicación del anteproyecto en los términos del artículo 69-K de la Ley Federal de Procedimiento Administrativo.</w:t>
            </w:r>
            <w:r w:rsidR="00247DFB">
              <w:rPr>
                <w:noProof/>
                <w:sz w:val="20"/>
                <w:lang w:eastAsia="es-MX"/>
              </w:rPr>
              <w:t>(en caso de contestar afirmativamente justifique)</w:t>
            </w:r>
          </w:p>
        </w:tc>
        <w:tc>
          <w:tcPr>
            <w:tcW w:w="2438" w:type="dxa"/>
            <w:tcBorders>
              <w:top w:val="single" w:sz="12" w:space="0" w:color="000000"/>
              <w:left w:val="single" w:sz="12" w:space="0" w:color="000000"/>
              <w:bottom w:val="single" w:sz="12" w:space="0" w:color="000000"/>
            </w:tcBorders>
            <w:shd w:val="clear" w:color="auto" w:fill="C6D9F1"/>
          </w:tcPr>
          <w:p w:rsidR="00247DFB" w:rsidRPr="00287B57" w:rsidRDefault="00247DFB" w:rsidP="00287B57">
            <w:pPr>
              <w:spacing w:after="0" w:line="240" w:lineRule="auto"/>
              <w:jc w:val="center"/>
              <w:rPr>
                <w:b/>
                <w:sz w:val="12"/>
              </w:rPr>
            </w:pPr>
            <w:r w:rsidRPr="00287B57">
              <w:rPr>
                <w:b/>
                <w:sz w:val="20"/>
              </w:rPr>
              <w:t>Seleccione</w:t>
            </w:r>
          </w:p>
        </w:tc>
      </w:tr>
      <w:tr w:rsidR="00247DFB" w:rsidRPr="00287B57" w:rsidTr="00287B57">
        <w:trPr>
          <w:trHeight w:val="201"/>
          <w:jc w:val="center"/>
        </w:trPr>
        <w:tc>
          <w:tcPr>
            <w:tcW w:w="7665" w:type="dxa"/>
            <w:vMerge/>
            <w:tcBorders>
              <w:right w:val="single" w:sz="12" w:space="0" w:color="000000"/>
            </w:tcBorders>
          </w:tcPr>
          <w:p w:rsidR="00247DFB" w:rsidRPr="00287B57" w:rsidRDefault="00247DFB" w:rsidP="00287B57">
            <w:pPr>
              <w:spacing w:after="0" w:line="240" w:lineRule="auto"/>
              <w:ind w:left="-108" w:right="-108"/>
              <w:jc w:val="center"/>
              <w:rPr>
                <w:color w:val="595959"/>
                <w:sz w:val="16"/>
              </w:rPr>
            </w:pPr>
          </w:p>
        </w:tc>
        <w:tc>
          <w:tcPr>
            <w:tcW w:w="2438" w:type="dxa"/>
            <w:tcBorders>
              <w:top w:val="single" w:sz="12" w:space="0" w:color="000000"/>
              <w:left w:val="single" w:sz="12" w:space="0" w:color="000000"/>
              <w:bottom w:val="single" w:sz="12" w:space="0" w:color="000000"/>
            </w:tcBorders>
            <w:vAlign w:val="center"/>
          </w:tcPr>
          <w:p w:rsidR="00247DFB" w:rsidRPr="003A5D1F" w:rsidRDefault="00247DFB" w:rsidP="00287B57">
            <w:pPr>
              <w:tabs>
                <w:tab w:val="left" w:pos="9923"/>
              </w:tabs>
              <w:spacing w:after="0" w:line="240" w:lineRule="auto"/>
              <w:ind w:right="51"/>
              <w:jc w:val="center"/>
              <w:rPr>
                <w:b/>
                <w:noProof/>
                <w:sz w:val="20"/>
                <w:lang w:eastAsia="es-MX"/>
              </w:rPr>
            </w:pPr>
            <w:r w:rsidRPr="003A5D1F">
              <w:rPr>
                <w:b/>
                <w:noProof/>
                <w:sz w:val="20"/>
                <w:lang w:eastAsia="es-MX"/>
              </w:rPr>
              <w:t>No</w:t>
            </w:r>
          </w:p>
        </w:tc>
      </w:tr>
    </w:tbl>
    <w:p w:rsidR="00247DFB" w:rsidRDefault="00247DFB" w:rsidP="00ED1E06">
      <w:pPr>
        <w:tabs>
          <w:tab w:val="left" w:pos="9923"/>
        </w:tabs>
        <w:spacing w:after="0" w:line="240" w:lineRule="auto"/>
        <w:ind w:right="51"/>
        <w:jc w:val="both"/>
        <w:rPr>
          <w:noProof/>
          <w:sz w:val="12"/>
          <w:lang w:eastAsia="es-MX"/>
        </w:rPr>
      </w:pPr>
    </w:p>
    <w:p w:rsidR="00B366AF" w:rsidRPr="008875EC" w:rsidRDefault="00B366AF" w:rsidP="00ED1E06">
      <w:pPr>
        <w:tabs>
          <w:tab w:val="left" w:pos="9923"/>
        </w:tabs>
        <w:spacing w:after="0" w:line="240" w:lineRule="auto"/>
        <w:ind w:right="51"/>
        <w:jc w:val="both"/>
        <w:rPr>
          <w:noProof/>
          <w:sz w:val="12"/>
          <w:lang w:eastAsia="es-MX"/>
        </w:rPr>
      </w:pPr>
    </w:p>
    <w:tbl>
      <w:tblPr>
        <w:tblW w:w="0" w:type="auto"/>
        <w:jc w:val="center"/>
        <w:tblInd w:w="-4693" w:type="dxa"/>
        <w:tblBorders>
          <w:top w:val="single" w:sz="4" w:space="0" w:color="000000"/>
          <w:left w:val="single" w:sz="4" w:space="0" w:color="000000"/>
          <w:bottom w:val="single" w:sz="4"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7665"/>
        <w:gridCol w:w="2438"/>
      </w:tblGrid>
      <w:tr w:rsidR="00247DFB" w:rsidRPr="00287B57" w:rsidTr="00287B57">
        <w:trPr>
          <w:trHeight w:val="204"/>
          <w:jc w:val="center"/>
        </w:trPr>
        <w:tc>
          <w:tcPr>
            <w:tcW w:w="7665" w:type="dxa"/>
            <w:vMerge w:val="restart"/>
            <w:tcBorders>
              <w:right w:val="single" w:sz="12" w:space="0" w:color="000000"/>
            </w:tcBorders>
          </w:tcPr>
          <w:p w:rsidR="00247DFB" w:rsidRPr="00287B57" w:rsidRDefault="00486183" w:rsidP="00287B57">
            <w:pPr>
              <w:tabs>
                <w:tab w:val="left" w:pos="9923"/>
              </w:tabs>
              <w:spacing w:after="0" w:line="240" w:lineRule="auto"/>
              <w:ind w:right="51"/>
              <w:jc w:val="both"/>
              <w:rPr>
                <w:b/>
                <w:noProof/>
                <w:sz w:val="20"/>
                <w:lang w:eastAsia="es-MX"/>
              </w:rPr>
            </w:pPr>
            <w:r>
              <w:rPr>
                <w:noProof/>
                <w:lang w:eastAsia="es-MX"/>
              </w:rPr>
              <w:lastRenderedPageBreak/>
              <mc:AlternateContent>
                <mc:Choice Requires="wps">
                  <w:drawing>
                    <wp:anchor distT="0" distB="0" distL="120396" distR="115788" simplePos="0" relativeHeight="251658240" behindDoc="0" locked="0" layoutInCell="1" allowOverlap="1" wp14:anchorId="7594ECDE" wp14:editId="6D4FE666">
                      <wp:simplePos x="0" y="0"/>
                      <wp:positionH relativeFrom="column">
                        <wp:posOffset>4724146</wp:posOffset>
                      </wp:positionH>
                      <wp:positionV relativeFrom="paragraph">
                        <wp:posOffset>90805</wp:posOffset>
                      </wp:positionV>
                      <wp:extent cx="151130" cy="136525"/>
                      <wp:effectExtent l="0" t="0" r="20320" b="15875"/>
                      <wp:wrapNone/>
                      <wp:docPr id="9" name="25 Combina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190" cy="214314"/>
                              </a:xfrm>
                              <a:prstGeom prst="flowChartMerg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25 Combinar" o:spid="_x0000_s1026" type="#_x0000_t128" style="position:absolute;margin-left:372pt;margin-top:7.15pt;width:11.9pt;height:10.75pt;z-index:251658240;visibility:visible;mso-wrap-style:square;mso-width-percent:0;mso-height-percent:0;mso-wrap-distance-left:9.48pt;mso-wrap-distance-top:0;mso-wrap-distance-right:3.21633mm;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" fillcolor="#a5a5a5 [2092]" strokecolor="#243f60 [1604]" strokeweight="2pt">
                      <v:path arrowok="t"/>
                    </v:shape>
                  </w:pict>
                </mc:Fallback>
              </mc:AlternateContent>
            </w:r>
            <w:r w:rsidR="00247DFB" w:rsidRPr="00287B57">
              <w:rPr>
                <w:noProof/>
                <w:sz w:val="20"/>
                <w:lang w:eastAsia="es-MX"/>
              </w:rPr>
              <w:t>3. Indique si la regulación propuesta requiere la constancia de publicidad a que se refiere el artículo 10 de la Ley Federal de Transparencia y Acceso a la Información Pública Gubernamental y el artículo 25 de su Reglamento.</w:t>
            </w:r>
          </w:p>
        </w:tc>
        <w:tc>
          <w:tcPr>
            <w:tcW w:w="2438" w:type="dxa"/>
            <w:tcBorders>
              <w:top w:val="single" w:sz="12" w:space="0" w:color="000000"/>
              <w:left w:val="single" w:sz="12" w:space="0" w:color="000000"/>
              <w:bottom w:val="single" w:sz="12" w:space="0" w:color="000000"/>
            </w:tcBorders>
            <w:shd w:val="clear" w:color="auto" w:fill="C6D9F1"/>
          </w:tcPr>
          <w:p w:rsidR="00247DFB" w:rsidRPr="00287B57" w:rsidRDefault="00247DFB" w:rsidP="00287B57">
            <w:pPr>
              <w:spacing w:after="0" w:line="240" w:lineRule="auto"/>
              <w:jc w:val="center"/>
              <w:rPr>
                <w:b/>
                <w:sz w:val="12"/>
              </w:rPr>
            </w:pPr>
            <w:r w:rsidRPr="00287B57">
              <w:rPr>
                <w:b/>
                <w:sz w:val="20"/>
              </w:rPr>
              <w:t>Seleccione</w:t>
            </w:r>
          </w:p>
        </w:tc>
      </w:tr>
      <w:tr w:rsidR="00247DFB" w:rsidRPr="00287B57" w:rsidTr="00287B57">
        <w:trPr>
          <w:trHeight w:val="201"/>
          <w:jc w:val="center"/>
        </w:trPr>
        <w:tc>
          <w:tcPr>
            <w:tcW w:w="7665" w:type="dxa"/>
            <w:vMerge/>
            <w:tcBorders>
              <w:right w:val="single" w:sz="12" w:space="0" w:color="000000"/>
            </w:tcBorders>
          </w:tcPr>
          <w:p w:rsidR="00247DFB" w:rsidRPr="00287B57" w:rsidRDefault="00247DFB" w:rsidP="00287B57">
            <w:pPr>
              <w:spacing w:after="0" w:line="240" w:lineRule="auto"/>
              <w:ind w:left="-108" w:right="-108"/>
              <w:jc w:val="center"/>
              <w:rPr>
                <w:color w:val="595959"/>
                <w:sz w:val="16"/>
              </w:rPr>
            </w:pPr>
          </w:p>
        </w:tc>
        <w:tc>
          <w:tcPr>
            <w:tcW w:w="2438" w:type="dxa"/>
            <w:tcBorders>
              <w:top w:val="single" w:sz="12" w:space="0" w:color="000000"/>
              <w:left w:val="single" w:sz="12" w:space="0" w:color="000000"/>
              <w:bottom w:val="single" w:sz="12" w:space="0" w:color="000000"/>
            </w:tcBorders>
            <w:vAlign w:val="center"/>
          </w:tcPr>
          <w:p w:rsidR="00247DFB" w:rsidRPr="003A5D1F" w:rsidRDefault="00247DFB" w:rsidP="00287B57">
            <w:pPr>
              <w:tabs>
                <w:tab w:val="left" w:pos="9923"/>
              </w:tabs>
              <w:spacing w:after="0" w:line="240" w:lineRule="auto"/>
              <w:ind w:right="51"/>
              <w:jc w:val="center"/>
              <w:rPr>
                <w:b/>
                <w:noProof/>
                <w:sz w:val="20"/>
                <w:lang w:eastAsia="es-MX"/>
              </w:rPr>
            </w:pPr>
            <w:r w:rsidRPr="003A5D1F">
              <w:rPr>
                <w:b/>
                <w:noProof/>
                <w:sz w:val="20"/>
                <w:lang w:eastAsia="es-MX"/>
              </w:rPr>
              <w:t>No</w:t>
            </w:r>
            <w:r w:rsidR="00B366AF" w:rsidRPr="003A5D1F">
              <w:rPr>
                <w:b/>
                <w:noProof/>
                <w:sz w:val="20"/>
                <w:lang w:eastAsia="es-MX"/>
              </w:rPr>
              <w:t xml:space="preserve"> </w:t>
            </w:r>
          </w:p>
        </w:tc>
      </w:tr>
    </w:tbl>
    <w:p w:rsidR="00247DFB" w:rsidRDefault="00741733" w:rsidP="008875EC">
      <w:pPr>
        <w:shd w:val="clear" w:color="auto" w:fill="548DD4"/>
        <w:spacing w:before="240" w:after="120"/>
        <w:ind w:firstLine="284"/>
        <w:rPr>
          <w:b/>
          <w:color w:val="FFFFFF"/>
          <w:sz w:val="20"/>
          <w:szCs w:val="20"/>
        </w:rPr>
      </w:pPr>
      <w:r w:rsidRPr="00EE7253">
        <w:rPr>
          <w:rFonts w:ascii="Soberana Sans" w:eastAsia="Times New Roman" w:hAnsi="Soberana Sans" w:cs="Arial"/>
          <w:noProof/>
          <w:sz w:val="20"/>
          <w:szCs w:val="20"/>
          <w:lang w:eastAsia="es-MX"/>
        </w:rPr>
        <mc:AlternateContent>
          <mc:Choice Requires="wps">
            <w:drawing>
              <wp:anchor distT="0" distB="0" distL="114300" distR="114300" simplePos="0" relativeHeight="251664384" behindDoc="0" locked="0" layoutInCell="1" allowOverlap="1" wp14:anchorId="48BE8977" wp14:editId="50AC877A">
                <wp:simplePos x="0" y="0"/>
                <wp:positionH relativeFrom="column">
                  <wp:posOffset>-34290</wp:posOffset>
                </wp:positionH>
                <wp:positionV relativeFrom="paragraph">
                  <wp:posOffset>391045</wp:posOffset>
                </wp:positionV>
                <wp:extent cx="6454775" cy="2410690"/>
                <wp:effectExtent l="0" t="0" r="22225" b="2794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2410690"/>
                        </a:xfrm>
                        <a:prstGeom prst="rect">
                          <a:avLst/>
                        </a:prstGeom>
                        <a:solidFill>
                          <a:srgbClr val="FFFFFF"/>
                        </a:solidFill>
                        <a:ln w="9525">
                          <a:solidFill>
                            <a:srgbClr val="000000"/>
                          </a:solidFill>
                          <a:miter lim="800000"/>
                          <a:headEnd/>
                          <a:tailEnd/>
                        </a:ln>
                      </wps:spPr>
                      <wps:txbx>
                        <w:txbxContent>
                          <w:p w:rsidR="00EE7253" w:rsidRPr="00B366AF" w:rsidRDefault="00EE7253" w:rsidP="00EE7253">
                            <w:pPr>
                              <w:tabs>
                                <w:tab w:val="left" w:pos="9923"/>
                              </w:tabs>
                              <w:spacing w:after="0" w:line="264" w:lineRule="auto"/>
                              <w:ind w:right="51"/>
                              <w:jc w:val="both"/>
                              <w:rPr>
                                <w:sz w:val="20"/>
                              </w:rPr>
                            </w:pPr>
                            <w:r w:rsidRPr="00B366AF">
                              <w:rPr>
                                <w:sz w:val="20"/>
                              </w:rPr>
                              <w:t>4. Justifique las razones por las que considera que la regulación propuesta no genera costos de cumplimiento para los particulares, independientemente de los beneficios que ésta genera.</w:t>
                            </w:r>
                          </w:p>
                          <w:p w:rsidR="00EE7253" w:rsidRPr="00B366AF" w:rsidRDefault="00EE7253" w:rsidP="00EE7253">
                            <w:pPr>
                              <w:tabs>
                                <w:tab w:val="left" w:pos="9923"/>
                              </w:tabs>
                              <w:spacing w:after="0" w:line="264" w:lineRule="auto"/>
                              <w:ind w:right="51"/>
                              <w:jc w:val="both"/>
                              <w:rPr>
                                <w:sz w:val="20"/>
                              </w:rPr>
                            </w:pPr>
                          </w:p>
                          <w:p w:rsidR="00EE7253" w:rsidRPr="00741733" w:rsidRDefault="00EE7253" w:rsidP="00B366AF">
                            <w:pPr>
                              <w:tabs>
                                <w:tab w:val="left" w:pos="9923"/>
                              </w:tabs>
                              <w:spacing w:after="0" w:line="264" w:lineRule="auto"/>
                              <w:ind w:right="51"/>
                              <w:jc w:val="both"/>
                              <w:rPr>
                                <w:rFonts w:eastAsia="Times New Roman" w:cs="Arial"/>
                                <w:b/>
                                <w:strike/>
                                <w:sz w:val="20"/>
                                <w:szCs w:val="20"/>
                                <w:lang w:eastAsia="es-MX"/>
                              </w:rPr>
                            </w:pPr>
                            <w:r w:rsidRPr="003A5D1F">
                              <w:rPr>
                                <w:rFonts w:eastAsia="Times New Roman" w:cs="Arial"/>
                                <w:b/>
                                <w:sz w:val="20"/>
                                <w:szCs w:val="20"/>
                                <w:lang w:eastAsia="es-MX"/>
                              </w:rPr>
                              <w:t xml:space="preserve">Se considera procedente eximir a dicho Anteproyecto de la presentación de la Manifestación del Impacto Regulatorio, toda vez que no se generan costos a los particulares, ni se modifican o restringen derechos a los mismos, sino que trata de una norma de carácter interno por virtud de la cual se reasignan </w:t>
                            </w:r>
                            <w:r w:rsidR="003A5D1F">
                              <w:rPr>
                                <w:rFonts w:eastAsia="Times New Roman" w:cs="Arial"/>
                                <w:b/>
                                <w:sz w:val="20"/>
                                <w:szCs w:val="20"/>
                                <w:lang w:eastAsia="es-MX"/>
                              </w:rPr>
                              <w:t>circunscripci</w:t>
                            </w:r>
                            <w:r w:rsidR="00F41224">
                              <w:rPr>
                                <w:rFonts w:eastAsia="Times New Roman" w:cs="Arial"/>
                                <w:b/>
                                <w:sz w:val="20"/>
                                <w:szCs w:val="20"/>
                                <w:lang w:eastAsia="es-MX"/>
                              </w:rPr>
                              <w:t>o</w:t>
                            </w:r>
                            <w:r w:rsidR="00C840AE">
                              <w:rPr>
                                <w:rFonts w:eastAsia="Times New Roman" w:cs="Arial"/>
                                <w:b/>
                                <w:sz w:val="20"/>
                                <w:szCs w:val="20"/>
                                <w:lang w:eastAsia="es-MX"/>
                              </w:rPr>
                              <w:t xml:space="preserve">nes </w:t>
                            </w:r>
                            <w:r w:rsidR="001204BA">
                              <w:rPr>
                                <w:rFonts w:eastAsia="Times New Roman" w:cs="Arial"/>
                                <w:b/>
                                <w:sz w:val="20"/>
                                <w:szCs w:val="20"/>
                                <w:lang w:eastAsia="es-MX"/>
                              </w:rPr>
                              <w:t xml:space="preserve">y se crea una Subdelegación </w:t>
                            </w:r>
                            <w:r w:rsidR="00204021">
                              <w:rPr>
                                <w:rFonts w:eastAsia="Times New Roman" w:cs="Arial"/>
                                <w:b/>
                                <w:sz w:val="20"/>
                                <w:szCs w:val="20"/>
                                <w:lang w:eastAsia="es-MX"/>
                              </w:rPr>
                              <w:t xml:space="preserve">a la estructura autorizada, </w:t>
                            </w:r>
                            <w:r w:rsidR="00741733" w:rsidRPr="00204021">
                              <w:rPr>
                                <w:rFonts w:eastAsia="Times New Roman" w:cs="Arial"/>
                                <w:b/>
                                <w:strike/>
                                <w:sz w:val="20"/>
                                <w:szCs w:val="20"/>
                                <w:lang w:eastAsia="es-MX"/>
                              </w:rPr>
                              <w:t>l</w:t>
                            </w:r>
                            <w:r w:rsidR="00741733" w:rsidRPr="00204021">
                              <w:rPr>
                                <w:rFonts w:eastAsia="Times New Roman" w:cs="Arial"/>
                                <w:b/>
                                <w:sz w:val="20"/>
                                <w:szCs w:val="20"/>
                                <w:lang w:eastAsia="es-MX"/>
                              </w:rPr>
                              <w:t>o anterior se informa en cumplimiento del artículo quinto primer párrafo del “ACUERDO que fija los lineamientos que deberán ser observados por las dependencias y organismos descentralizados de la Administración Pública Federal, en cuanto a la emisión de los actos administrativos de carácter general a los que les resulta aplicable el artículo 69-H de la Ley Federal de Procedimiento Administrativo”, publicado en el DOF el 08/03/2017.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pt;margin-top:30.8pt;width:508.25pt;height:18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">
                <v:textbox>
                  <w:txbxContent>
                    <w:p w:rsidR="00EE7253" w:rsidRPr="00B366AF" w:rsidRDefault="00EE7253" w:rsidP="00EE7253">
                      <w:pPr>
                        <w:tabs>
                          <w:tab w:val="left" w:pos="9923"/>
                        </w:tabs>
                        <w:spacing w:after="0" w:line="264" w:lineRule="auto"/>
                        <w:ind w:right="51"/>
                        <w:jc w:val="both"/>
                        <w:rPr>
                          <w:sz w:val="20"/>
                        </w:rPr>
                      </w:pPr>
                      <w:r w:rsidRPr="00B366AF">
                        <w:rPr>
                          <w:sz w:val="20"/>
                        </w:rPr>
                        <w:t>4. Justifique las razones por las que considera que la regulación propuesta no genera costos de cumplimiento para los particulares, independientemente de los beneficios que ésta genera.</w:t>
                      </w:r>
                    </w:p>
                    <w:p w:rsidR="00EE7253" w:rsidRPr="00B366AF" w:rsidRDefault="00EE7253" w:rsidP="00EE7253">
                      <w:pPr>
                        <w:tabs>
                          <w:tab w:val="left" w:pos="9923"/>
                        </w:tabs>
                        <w:spacing w:after="0" w:line="264" w:lineRule="auto"/>
                        <w:ind w:right="51"/>
                        <w:jc w:val="both"/>
                        <w:rPr>
                          <w:sz w:val="20"/>
                        </w:rPr>
                      </w:pPr>
                    </w:p>
                    <w:p w:rsidR="00EE7253" w:rsidRPr="00741733" w:rsidRDefault="00EE7253" w:rsidP="00B366AF">
                      <w:pPr>
                        <w:tabs>
                          <w:tab w:val="left" w:pos="9923"/>
                        </w:tabs>
                        <w:spacing w:after="0" w:line="264" w:lineRule="auto"/>
                        <w:ind w:right="51"/>
                        <w:jc w:val="both"/>
                        <w:rPr>
                          <w:rFonts w:eastAsia="Times New Roman" w:cs="Arial"/>
                          <w:b/>
                          <w:strike/>
                          <w:sz w:val="20"/>
                          <w:szCs w:val="20"/>
                          <w:lang w:eastAsia="es-MX"/>
                        </w:rPr>
                      </w:pPr>
                      <w:r w:rsidRPr="003A5D1F">
                        <w:rPr>
                          <w:rFonts w:eastAsia="Times New Roman" w:cs="Arial"/>
                          <w:b/>
                          <w:sz w:val="20"/>
                          <w:szCs w:val="20"/>
                          <w:lang w:eastAsia="es-MX"/>
                        </w:rPr>
                        <w:t xml:space="preserve">Se considera procedente eximir a dicho Anteproyecto de la presentación de la Manifestación del Impacto Regulatorio, toda vez que no se generan costos a los particulares, ni se modifican o restringen derechos a los mismos, sino que trata de una norma de carácter interno por virtud de la cual se reasignan </w:t>
                      </w:r>
                      <w:r w:rsidR="003A5D1F">
                        <w:rPr>
                          <w:rFonts w:eastAsia="Times New Roman" w:cs="Arial"/>
                          <w:b/>
                          <w:sz w:val="20"/>
                          <w:szCs w:val="20"/>
                          <w:lang w:eastAsia="es-MX"/>
                        </w:rPr>
                        <w:t>circunscripci</w:t>
                      </w:r>
                      <w:r w:rsidR="00F41224">
                        <w:rPr>
                          <w:rFonts w:eastAsia="Times New Roman" w:cs="Arial"/>
                          <w:b/>
                          <w:sz w:val="20"/>
                          <w:szCs w:val="20"/>
                          <w:lang w:eastAsia="es-MX"/>
                        </w:rPr>
                        <w:t>o</w:t>
                      </w:r>
                      <w:r w:rsidR="00C840AE">
                        <w:rPr>
                          <w:rFonts w:eastAsia="Times New Roman" w:cs="Arial"/>
                          <w:b/>
                          <w:sz w:val="20"/>
                          <w:szCs w:val="20"/>
                          <w:lang w:eastAsia="es-MX"/>
                        </w:rPr>
                        <w:t xml:space="preserve">nes </w:t>
                      </w:r>
                      <w:r w:rsidR="001204BA">
                        <w:rPr>
                          <w:rFonts w:eastAsia="Times New Roman" w:cs="Arial"/>
                          <w:b/>
                          <w:sz w:val="20"/>
                          <w:szCs w:val="20"/>
                          <w:lang w:eastAsia="es-MX"/>
                        </w:rPr>
                        <w:t xml:space="preserve">y se crea una Subdelegación </w:t>
                      </w:r>
                      <w:r w:rsidR="00204021">
                        <w:rPr>
                          <w:rFonts w:eastAsia="Times New Roman" w:cs="Arial"/>
                          <w:b/>
                          <w:sz w:val="20"/>
                          <w:szCs w:val="20"/>
                          <w:lang w:eastAsia="es-MX"/>
                        </w:rPr>
                        <w:t xml:space="preserve">a la estructura autorizada, </w:t>
                      </w:r>
                      <w:r w:rsidR="00741733" w:rsidRPr="00204021">
                        <w:rPr>
                          <w:rFonts w:eastAsia="Times New Roman" w:cs="Arial"/>
                          <w:b/>
                          <w:strike/>
                          <w:sz w:val="20"/>
                          <w:szCs w:val="20"/>
                          <w:lang w:eastAsia="es-MX"/>
                        </w:rPr>
                        <w:t>l</w:t>
                      </w:r>
                      <w:r w:rsidR="00741733" w:rsidRPr="00204021">
                        <w:rPr>
                          <w:rFonts w:eastAsia="Times New Roman" w:cs="Arial"/>
                          <w:b/>
                          <w:sz w:val="20"/>
                          <w:szCs w:val="20"/>
                          <w:lang w:eastAsia="es-MX"/>
                        </w:rPr>
                        <w:t>o anterior se informa en cumplimiento del artículo quinto primer párrafo del “ACUERDO que fija los lineamientos que deberán ser observados por las dependencias y organismos descentralizados de la Administración Pública Federal, en cuanto a la emisión de los actos administrativos de carácter general a los que les resulta aplicable el artículo 69-H de la Ley Federal de Procedimiento Administrativo”, publicado en el DOF el 08/03/2017.</w:t>
                      </w:r>
                    </w:p>
                  </w:txbxContent>
                </v:textbox>
              </v:shape>
            </w:pict>
          </mc:Fallback>
        </mc:AlternateContent>
      </w:r>
      <w:r w:rsidR="00247DFB">
        <w:rPr>
          <w:b/>
          <w:color w:val="FFFFFF"/>
          <w:sz w:val="20"/>
          <w:szCs w:val="20"/>
        </w:rPr>
        <w:t>II.- IMPACTO DE LA REGULACIÓN</w:t>
      </w:r>
    </w:p>
    <w:p w:rsidR="00EE7253" w:rsidRDefault="00EE7253" w:rsidP="00E711E8">
      <w:pPr>
        <w:tabs>
          <w:tab w:val="left" w:pos="9923"/>
        </w:tabs>
        <w:spacing w:after="0" w:line="264" w:lineRule="auto"/>
        <w:ind w:right="51"/>
        <w:jc w:val="both"/>
        <w:rPr>
          <w:rFonts w:ascii="Soberana Sans" w:eastAsia="Times New Roman" w:hAnsi="Soberana Sans" w:cs="Arial"/>
          <w:sz w:val="20"/>
          <w:szCs w:val="20"/>
          <w:lang w:eastAsia="es-MX"/>
        </w:rPr>
      </w:pPr>
    </w:p>
    <w:p w:rsidR="00EE7253" w:rsidRDefault="00EE7253" w:rsidP="00E711E8">
      <w:pPr>
        <w:tabs>
          <w:tab w:val="left" w:pos="9923"/>
        </w:tabs>
        <w:spacing w:after="0" w:line="264" w:lineRule="auto"/>
        <w:ind w:right="51"/>
        <w:jc w:val="both"/>
        <w:rPr>
          <w:rFonts w:ascii="Soberana Sans" w:eastAsia="Times New Roman" w:hAnsi="Soberana Sans" w:cs="Arial"/>
          <w:sz w:val="20"/>
          <w:szCs w:val="20"/>
          <w:lang w:eastAsia="es-MX"/>
        </w:rPr>
      </w:pPr>
    </w:p>
    <w:p w:rsidR="00EE7253" w:rsidRDefault="00EE7253" w:rsidP="00E711E8">
      <w:pPr>
        <w:tabs>
          <w:tab w:val="left" w:pos="9923"/>
        </w:tabs>
        <w:spacing w:after="0" w:line="264" w:lineRule="auto"/>
        <w:ind w:right="51"/>
        <w:jc w:val="both"/>
        <w:rPr>
          <w:rFonts w:ascii="Soberana Sans" w:eastAsia="Times New Roman" w:hAnsi="Soberana Sans" w:cs="Arial"/>
          <w:sz w:val="20"/>
          <w:szCs w:val="20"/>
          <w:lang w:eastAsia="es-MX"/>
        </w:rPr>
      </w:pPr>
    </w:p>
    <w:p w:rsidR="00EE7253" w:rsidRDefault="00EE7253" w:rsidP="00E711E8">
      <w:pPr>
        <w:tabs>
          <w:tab w:val="left" w:pos="9923"/>
        </w:tabs>
        <w:spacing w:after="0" w:line="264" w:lineRule="auto"/>
        <w:ind w:right="51"/>
        <w:jc w:val="both"/>
        <w:rPr>
          <w:rFonts w:ascii="Soberana Sans" w:eastAsia="Times New Roman" w:hAnsi="Soberana Sans" w:cs="Arial"/>
          <w:sz w:val="20"/>
          <w:szCs w:val="20"/>
          <w:lang w:eastAsia="es-MX"/>
        </w:rPr>
      </w:pPr>
    </w:p>
    <w:p w:rsidR="00EE7253" w:rsidRDefault="00EE7253" w:rsidP="00E711E8">
      <w:pPr>
        <w:tabs>
          <w:tab w:val="left" w:pos="9923"/>
        </w:tabs>
        <w:spacing w:after="0" w:line="264" w:lineRule="auto"/>
        <w:ind w:right="51"/>
        <w:jc w:val="both"/>
        <w:rPr>
          <w:rFonts w:ascii="Soberana Sans" w:eastAsia="Times New Roman" w:hAnsi="Soberana Sans" w:cs="Arial"/>
          <w:sz w:val="20"/>
          <w:szCs w:val="20"/>
          <w:lang w:eastAsia="es-MX"/>
        </w:rPr>
      </w:pPr>
    </w:p>
    <w:p w:rsidR="00EE7253" w:rsidRDefault="00EE7253" w:rsidP="00E711E8">
      <w:pPr>
        <w:tabs>
          <w:tab w:val="left" w:pos="9923"/>
        </w:tabs>
        <w:spacing w:after="0" w:line="264" w:lineRule="auto"/>
        <w:ind w:right="51"/>
        <w:jc w:val="both"/>
        <w:rPr>
          <w:rFonts w:ascii="Soberana Sans" w:eastAsia="Times New Roman" w:hAnsi="Soberana Sans" w:cs="Arial"/>
          <w:sz w:val="20"/>
          <w:szCs w:val="20"/>
          <w:lang w:eastAsia="es-MX"/>
        </w:rPr>
      </w:pPr>
    </w:p>
    <w:p w:rsidR="00EE7253" w:rsidRDefault="00EE7253" w:rsidP="00E711E8">
      <w:pPr>
        <w:tabs>
          <w:tab w:val="left" w:pos="9923"/>
        </w:tabs>
        <w:spacing w:after="0" w:line="264" w:lineRule="auto"/>
        <w:ind w:right="51"/>
        <w:jc w:val="both"/>
        <w:rPr>
          <w:rFonts w:ascii="Soberana Sans" w:eastAsia="Times New Roman" w:hAnsi="Soberana Sans" w:cs="Arial"/>
          <w:sz w:val="20"/>
          <w:szCs w:val="20"/>
          <w:lang w:eastAsia="es-MX"/>
        </w:rPr>
      </w:pPr>
    </w:p>
    <w:p w:rsidR="00EE7253" w:rsidRDefault="00EE7253" w:rsidP="00E711E8">
      <w:pPr>
        <w:tabs>
          <w:tab w:val="left" w:pos="9923"/>
        </w:tabs>
        <w:spacing w:after="0" w:line="264" w:lineRule="auto"/>
        <w:ind w:right="51"/>
        <w:jc w:val="both"/>
        <w:rPr>
          <w:rFonts w:ascii="Soberana Sans" w:eastAsia="Times New Roman" w:hAnsi="Soberana Sans" w:cs="Arial"/>
          <w:sz w:val="20"/>
          <w:szCs w:val="20"/>
          <w:lang w:eastAsia="es-MX"/>
        </w:rPr>
      </w:pPr>
    </w:p>
    <w:p w:rsidR="00247DFB" w:rsidRDefault="00247DFB" w:rsidP="008875EC">
      <w:pPr>
        <w:tabs>
          <w:tab w:val="left" w:pos="9923"/>
        </w:tabs>
        <w:spacing w:after="0" w:line="264" w:lineRule="auto"/>
        <w:ind w:right="51"/>
        <w:jc w:val="both"/>
        <w:rPr>
          <w:sz w:val="20"/>
        </w:rPr>
      </w:pPr>
    </w:p>
    <w:p w:rsidR="00741733" w:rsidRDefault="00741733" w:rsidP="008875EC">
      <w:pPr>
        <w:tabs>
          <w:tab w:val="left" w:pos="9923"/>
        </w:tabs>
        <w:spacing w:after="0" w:line="264" w:lineRule="auto"/>
        <w:ind w:right="51"/>
        <w:jc w:val="both"/>
        <w:rPr>
          <w:sz w:val="20"/>
        </w:rPr>
      </w:pPr>
    </w:p>
    <w:p w:rsidR="00741733" w:rsidRDefault="00741733" w:rsidP="008875EC">
      <w:pPr>
        <w:tabs>
          <w:tab w:val="left" w:pos="9923"/>
        </w:tabs>
        <w:spacing w:after="0" w:line="264" w:lineRule="auto"/>
        <w:ind w:right="51"/>
        <w:jc w:val="both"/>
        <w:rPr>
          <w:sz w:val="20"/>
        </w:rPr>
      </w:pPr>
    </w:p>
    <w:p w:rsidR="00741733" w:rsidRDefault="00741733" w:rsidP="008875EC">
      <w:pPr>
        <w:tabs>
          <w:tab w:val="left" w:pos="9923"/>
        </w:tabs>
        <w:spacing w:after="0" w:line="264" w:lineRule="auto"/>
        <w:ind w:right="51"/>
        <w:jc w:val="both"/>
        <w:rPr>
          <w:sz w:val="20"/>
        </w:rPr>
      </w:pPr>
    </w:p>
    <w:p w:rsidR="00741733" w:rsidRDefault="00741733" w:rsidP="008875EC">
      <w:pPr>
        <w:tabs>
          <w:tab w:val="left" w:pos="9923"/>
        </w:tabs>
        <w:spacing w:after="0" w:line="264" w:lineRule="auto"/>
        <w:ind w:right="51"/>
        <w:jc w:val="both"/>
        <w:rPr>
          <w:sz w:val="20"/>
        </w:rPr>
      </w:pPr>
    </w:p>
    <w:p w:rsidR="00741733" w:rsidRDefault="00741733" w:rsidP="008875EC">
      <w:pPr>
        <w:tabs>
          <w:tab w:val="left" w:pos="9923"/>
        </w:tabs>
        <w:spacing w:after="0" w:line="264" w:lineRule="auto"/>
        <w:ind w:right="51"/>
        <w:jc w:val="both"/>
        <w:rPr>
          <w:sz w:val="20"/>
        </w:rPr>
      </w:pPr>
    </w:p>
    <w:tbl>
      <w:tblPr>
        <w:tblW w:w="0" w:type="auto"/>
        <w:jc w:val="center"/>
        <w:tblInd w:w="-6" w:type="dxa"/>
        <w:tblBorders>
          <w:top w:val="single" w:sz="4" w:space="0" w:color="000000"/>
          <w:left w:val="single" w:sz="4" w:space="0" w:color="000000"/>
          <w:bottom w:val="single" w:sz="4"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3449"/>
        <w:gridCol w:w="5529"/>
        <w:gridCol w:w="1134"/>
      </w:tblGrid>
      <w:tr w:rsidR="003A5D1F" w:rsidRPr="00287B57" w:rsidTr="003A5D1F">
        <w:trPr>
          <w:trHeight w:val="221"/>
          <w:jc w:val="center"/>
        </w:trPr>
        <w:tc>
          <w:tcPr>
            <w:tcW w:w="3449" w:type="dxa"/>
            <w:vMerge w:val="restart"/>
            <w:tcBorders>
              <w:right w:val="single" w:sz="18" w:space="0" w:color="auto"/>
            </w:tcBorders>
          </w:tcPr>
          <w:p w:rsidR="003A5D1F" w:rsidRPr="00287B57" w:rsidRDefault="003A5D1F" w:rsidP="00287B57">
            <w:pPr>
              <w:tabs>
                <w:tab w:val="left" w:pos="9923"/>
              </w:tabs>
              <w:spacing w:after="0" w:line="240" w:lineRule="auto"/>
              <w:ind w:right="51"/>
              <w:jc w:val="both"/>
              <w:rPr>
                <w:b/>
                <w:noProof/>
                <w:sz w:val="20"/>
                <w:lang w:eastAsia="es-MX"/>
              </w:rPr>
            </w:pPr>
            <w:r w:rsidRPr="00287B57">
              <w:rPr>
                <w:noProof/>
                <w:sz w:val="20"/>
                <w:lang w:eastAsia="es-MX"/>
              </w:rPr>
              <w:t>5. Indique cuál(es) de las siguientes acciones corresponde(n) a la regulación propuesta</w:t>
            </w:r>
          </w:p>
        </w:tc>
        <w:tc>
          <w:tcPr>
            <w:tcW w:w="5529" w:type="dxa"/>
            <w:tcBorders>
              <w:top w:val="single" w:sz="12" w:space="0" w:color="000000"/>
              <w:left w:val="single" w:sz="12" w:space="0" w:color="000000"/>
              <w:bottom w:val="single" w:sz="12" w:space="0" w:color="000000"/>
            </w:tcBorders>
            <w:shd w:val="clear" w:color="auto" w:fill="C6D9F1"/>
          </w:tcPr>
          <w:p w:rsidR="003A5D1F" w:rsidRPr="00287B57" w:rsidRDefault="003A5D1F" w:rsidP="00287B57">
            <w:pPr>
              <w:spacing w:after="0" w:line="240" w:lineRule="auto"/>
              <w:jc w:val="center"/>
              <w:rPr>
                <w:b/>
                <w:sz w:val="12"/>
              </w:rPr>
            </w:pPr>
            <w:r w:rsidRPr="00287B57">
              <w:rPr>
                <w:b/>
                <w:sz w:val="20"/>
              </w:rPr>
              <w:t>Acciones</w:t>
            </w:r>
          </w:p>
        </w:tc>
        <w:tc>
          <w:tcPr>
            <w:tcW w:w="1134" w:type="dxa"/>
            <w:tcBorders>
              <w:top w:val="single" w:sz="12" w:space="0" w:color="000000"/>
              <w:left w:val="single" w:sz="12" w:space="0" w:color="000000"/>
              <w:bottom w:val="single" w:sz="12" w:space="0" w:color="000000"/>
            </w:tcBorders>
            <w:shd w:val="clear" w:color="auto" w:fill="C6D9F1"/>
          </w:tcPr>
          <w:p w:rsidR="003A5D1F" w:rsidRPr="00287B57" w:rsidRDefault="003A5D1F" w:rsidP="00287B57">
            <w:pPr>
              <w:spacing w:after="0" w:line="240" w:lineRule="auto"/>
              <w:jc w:val="center"/>
              <w:rPr>
                <w:b/>
                <w:sz w:val="20"/>
              </w:rPr>
            </w:pPr>
            <w:r w:rsidRPr="00287B57">
              <w:rPr>
                <w:b/>
                <w:sz w:val="20"/>
              </w:rPr>
              <w:t>No</w:t>
            </w:r>
          </w:p>
        </w:tc>
      </w:tr>
      <w:tr w:rsidR="003A5D1F" w:rsidRPr="00287B57" w:rsidTr="003A5D1F">
        <w:trPr>
          <w:trHeight w:val="294"/>
          <w:jc w:val="center"/>
        </w:trPr>
        <w:tc>
          <w:tcPr>
            <w:tcW w:w="3449" w:type="dxa"/>
            <w:vMerge/>
            <w:tcBorders>
              <w:right w:val="single" w:sz="18" w:space="0" w:color="auto"/>
            </w:tcBorders>
          </w:tcPr>
          <w:p w:rsidR="003A5D1F" w:rsidRPr="00287B57" w:rsidRDefault="003A5D1F" w:rsidP="00287B57">
            <w:pPr>
              <w:spacing w:after="0" w:line="240" w:lineRule="auto"/>
              <w:ind w:left="-108" w:right="-108"/>
              <w:jc w:val="center"/>
              <w:rPr>
                <w:color w:val="595959"/>
                <w:sz w:val="16"/>
              </w:rPr>
            </w:pPr>
          </w:p>
        </w:tc>
        <w:tc>
          <w:tcPr>
            <w:tcW w:w="5529" w:type="dxa"/>
            <w:tcBorders>
              <w:top w:val="single" w:sz="12" w:space="0" w:color="000000"/>
              <w:left w:val="single" w:sz="4" w:space="0" w:color="auto"/>
              <w:bottom w:val="single" w:sz="4" w:space="0" w:color="auto"/>
              <w:right w:val="single" w:sz="4" w:space="0" w:color="auto"/>
            </w:tcBorders>
            <w:vAlign w:val="center"/>
          </w:tcPr>
          <w:p w:rsidR="003A5D1F" w:rsidRPr="00287B57" w:rsidRDefault="003A5D1F" w:rsidP="00287B57">
            <w:pPr>
              <w:tabs>
                <w:tab w:val="left" w:pos="9923"/>
              </w:tabs>
              <w:spacing w:after="0" w:line="240" w:lineRule="auto"/>
              <w:ind w:right="51"/>
              <w:jc w:val="both"/>
              <w:rPr>
                <w:noProof/>
                <w:sz w:val="20"/>
                <w:lang w:eastAsia="es-MX"/>
              </w:rPr>
            </w:pPr>
            <w:r w:rsidRPr="00287B57">
              <w:rPr>
                <w:noProof/>
                <w:sz w:val="20"/>
                <w:lang w:eastAsia="es-MX"/>
              </w:rPr>
              <w:t>Crea nuevas obligaciones y/o sanciones para los particulares o hace más estrictas las existentes.</w:t>
            </w:r>
          </w:p>
        </w:tc>
        <w:tc>
          <w:tcPr>
            <w:tcW w:w="1134" w:type="dxa"/>
            <w:tcBorders>
              <w:top w:val="single" w:sz="12" w:space="0" w:color="000000"/>
              <w:left w:val="single" w:sz="4" w:space="0" w:color="auto"/>
              <w:bottom w:val="single" w:sz="4" w:space="0" w:color="auto"/>
              <w:right w:val="single" w:sz="4" w:space="0" w:color="auto"/>
            </w:tcBorders>
          </w:tcPr>
          <w:p w:rsidR="003A5D1F" w:rsidRPr="003A5D1F" w:rsidRDefault="003A5D1F" w:rsidP="00287B57">
            <w:pPr>
              <w:tabs>
                <w:tab w:val="left" w:pos="9923"/>
              </w:tabs>
              <w:spacing w:after="0" w:line="240" w:lineRule="auto"/>
              <w:ind w:right="51"/>
              <w:jc w:val="both"/>
              <w:rPr>
                <w:b/>
                <w:noProof/>
                <w:sz w:val="20"/>
                <w:lang w:eastAsia="es-MX"/>
              </w:rPr>
            </w:pPr>
            <w:r w:rsidRPr="003A5D1F">
              <w:rPr>
                <w:b/>
                <w:noProof/>
                <w:sz w:val="20"/>
                <w:lang w:eastAsia="es-MX"/>
              </w:rPr>
              <w:t>NO</w:t>
            </w:r>
          </w:p>
        </w:tc>
      </w:tr>
      <w:tr w:rsidR="003A5D1F" w:rsidRPr="00287B57" w:rsidTr="003A5D1F">
        <w:trPr>
          <w:trHeight w:val="217"/>
          <w:jc w:val="center"/>
        </w:trPr>
        <w:tc>
          <w:tcPr>
            <w:tcW w:w="3449" w:type="dxa"/>
            <w:vMerge/>
            <w:tcBorders>
              <w:right w:val="single" w:sz="18" w:space="0" w:color="auto"/>
            </w:tcBorders>
          </w:tcPr>
          <w:p w:rsidR="003A5D1F" w:rsidRPr="00287B57" w:rsidRDefault="003A5D1F" w:rsidP="00287B57">
            <w:pPr>
              <w:spacing w:after="0" w:line="240" w:lineRule="auto"/>
              <w:ind w:left="-108" w:right="-108"/>
              <w:jc w:val="center"/>
              <w:rPr>
                <w:color w:val="595959"/>
                <w:sz w:val="16"/>
              </w:rPr>
            </w:pPr>
          </w:p>
        </w:tc>
        <w:tc>
          <w:tcPr>
            <w:tcW w:w="5529" w:type="dxa"/>
            <w:tcBorders>
              <w:top w:val="single" w:sz="4" w:space="0" w:color="auto"/>
              <w:left w:val="single" w:sz="4" w:space="0" w:color="auto"/>
              <w:bottom w:val="single" w:sz="4" w:space="0" w:color="auto"/>
              <w:right w:val="single" w:sz="4" w:space="0" w:color="auto"/>
            </w:tcBorders>
            <w:vAlign w:val="center"/>
          </w:tcPr>
          <w:p w:rsidR="003A5D1F" w:rsidRPr="00287B57" w:rsidRDefault="003A5D1F" w:rsidP="00287B57">
            <w:pPr>
              <w:tabs>
                <w:tab w:val="left" w:pos="9923"/>
              </w:tabs>
              <w:spacing w:after="0" w:line="240" w:lineRule="auto"/>
              <w:ind w:right="51"/>
              <w:jc w:val="both"/>
              <w:rPr>
                <w:noProof/>
                <w:sz w:val="20"/>
                <w:lang w:eastAsia="es-MX"/>
              </w:rPr>
            </w:pPr>
            <w:r w:rsidRPr="00287B57">
              <w:rPr>
                <w:noProof/>
                <w:sz w:val="20"/>
                <w:lang w:eastAsia="es-MX"/>
              </w:rPr>
              <w:t>Modifica o crea trámites que signifiquen mayores cargas administrativas o costos de cumplimiento para los particulares.</w:t>
            </w:r>
          </w:p>
        </w:tc>
        <w:tc>
          <w:tcPr>
            <w:tcW w:w="1134" w:type="dxa"/>
            <w:tcBorders>
              <w:top w:val="single" w:sz="4" w:space="0" w:color="auto"/>
              <w:left w:val="single" w:sz="4" w:space="0" w:color="auto"/>
              <w:bottom w:val="single" w:sz="4" w:space="0" w:color="auto"/>
              <w:right w:val="single" w:sz="4" w:space="0" w:color="auto"/>
            </w:tcBorders>
          </w:tcPr>
          <w:p w:rsidR="003A5D1F" w:rsidRPr="003A5D1F" w:rsidRDefault="003A5D1F">
            <w:pPr>
              <w:rPr>
                <w:b/>
              </w:rPr>
            </w:pPr>
            <w:r w:rsidRPr="003A5D1F">
              <w:rPr>
                <w:b/>
                <w:noProof/>
                <w:sz w:val="20"/>
                <w:lang w:eastAsia="es-MX"/>
              </w:rPr>
              <w:t>NO</w:t>
            </w:r>
          </w:p>
        </w:tc>
      </w:tr>
      <w:tr w:rsidR="003A5D1F" w:rsidRPr="00287B57" w:rsidTr="003A5D1F">
        <w:trPr>
          <w:trHeight w:val="217"/>
          <w:jc w:val="center"/>
        </w:trPr>
        <w:tc>
          <w:tcPr>
            <w:tcW w:w="3449" w:type="dxa"/>
            <w:vMerge/>
            <w:tcBorders>
              <w:right w:val="single" w:sz="18" w:space="0" w:color="auto"/>
            </w:tcBorders>
          </w:tcPr>
          <w:p w:rsidR="003A5D1F" w:rsidRPr="00287B57" w:rsidRDefault="003A5D1F" w:rsidP="00287B57">
            <w:pPr>
              <w:spacing w:after="0" w:line="240" w:lineRule="auto"/>
              <w:ind w:left="-108" w:right="-108"/>
              <w:jc w:val="center"/>
              <w:rPr>
                <w:color w:val="595959"/>
                <w:sz w:val="16"/>
              </w:rPr>
            </w:pPr>
          </w:p>
        </w:tc>
        <w:tc>
          <w:tcPr>
            <w:tcW w:w="5529" w:type="dxa"/>
            <w:tcBorders>
              <w:top w:val="single" w:sz="4" w:space="0" w:color="auto"/>
              <w:left w:val="single" w:sz="4" w:space="0" w:color="auto"/>
              <w:bottom w:val="single" w:sz="4" w:space="0" w:color="auto"/>
              <w:right w:val="single" w:sz="4" w:space="0" w:color="auto"/>
            </w:tcBorders>
            <w:vAlign w:val="center"/>
          </w:tcPr>
          <w:p w:rsidR="003A5D1F" w:rsidRPr="00287B57" w:rsidRDefault="003A5D1F" w:rsidP="00287B57">
            <w:pPr>
              <w:tabs>
                <w:tab w:val="left" w:pos="9923"/>
              </w:tabs>
              <w:spacing w:after="0" w:line="240" w:lineRule="auto"/>
              <w:ind w:right="51"/>
              <w:jc w:val="both"/>
              <w:rPr>
                <w:noProof/>
                <w:sz w:val="20"/>
                <w:lang w:eastAsia="es-MX"/>
              </w:rPr>
            </w:pPr>
            <w:r w:rsidRPr="00287B57">
              <w:rPr>
                <w:noProof/>
                <w:sz w:val="20"/>
                <w:lang w:eastAsia="es-MX"/>
              </w:rPr>
              <w:t>Reduce o restringe prestaciones o derechos para los particulares.</w:t>
            </w:r>
          </w:p>
        </w:tc>
        <w:tc>
          <w:tcPr>
            <w:tcW w:w="1134" w:type="dxa"/>
            <w:tcBorders>
              <w:top w:val="single" w:sz="4" w:space="0" w:color="auto"/>
              <w:left w:val="single" w:sz="4" w:space="0" w:color="auto"/>
              <w:bottom w:val="single" w:sz="4" w:space="0" w:color="auto"/>
              <w:right w:val="single" w:sz="4" w:space="0" w:color="auto"/>
            </w:tcBorders>
          </w:tcPr>
          <w:p w:rsidR="003A5D1F" w:rsidRPr="003A5D1F" w:rsidRDefault="003A5D1F">
            <w:pPr>
              <w:rPr>
                <w:b/>
              </w:rPr>
            </w:pPr>
            <w:r w:rsidRPr="003A5D1F">
              <w:rPr>
                <w:b/>
                <w:noProof/>
                <w:sz w:val="20"/>
                <w:lang w:eastAsia="es-MX"/>
              </w:rPr>
              <w:t>NO</w:t>
            </w:r>
          </w:p>
        </w:tc>
      </w:tr>
      <w:tr w:rsidR="003A5D1F" w:rsidRPr="00287B57" w:rsidTr="003A5D1F">
        <w:trPr>
          <w:trHeight w:val="217"/>
          <w:jc w:val="center"/>
        </w:trPr>
        <w:tc>
          <w:tcPr>
            <w:tcW w:w="3449" w:type="dxa"/>
            <w:vMerge/>
            <w:tcBorders>
              <w:right w:val="single" w:sz="18" w:space="0" w:color="auto"/>
            </w:tcBorders>
          </w:tcPr>
          <w:p w:rsidR="003A5D1F" w:rsidRPr="00287B57" w:rsidRDefault="003A5D1F" w:rsidP="00287B57">
            <w:pPr>
              <w:spacing w:after="0" w:line="240" w:lineRule="auto"/>
              <w:ind w:left="-108" w:right="-108"/>
              <w:jc w:val="center"/>
              <w:rPr>
                <w:color w:val="595959"/>
                <w:sz w:val="16"/>
              </w:rPr>
            </w:pPr>
          </w:p>
        </w:tc>
        <w:tc>
          <w:tcPr>
            <w:tcW w:w="5529" w:type="dxa"/>
            <w:tcBorders>
              <w:top w:val="single" w:sz="4" w:space="0" w:color="auto"/>
              <w:left w:val="single" w:sz="4" w:space="0" w:color="auto"/>
              <w:bottom w:val="single" w:sz="4" w:space="0" w:color="auto"/>
              <w:right w:val="single" w:sz="4" w:space="0" w:color="auto"/>
            </w:tcBorders>
            <w:vAlign w:val="center"/>
          </w:tcPr>
          <w:p w:rsidR="003A5D1F" w:rsidRPr="00287B57" w:rsidRDefault="003A5D1F" w:rsidP="00287B57">
            <w:pPr>
              <w:tabs>
                <w:tab w:val="left" w:pos="9923"/>
              </w:tabs>
              <w:spacing w:after="0" w:line="240" w:lineRule="auto"/>
              <w:ind w:right="51"/>
              <w:jc w:val="both"/>
              <w:rPr>
                <w:noProof/>
                <w:sz w:val="20"/>
                <w:lang w:eastAsia="es-MX"/>
              </w:rPr>
            </w:pPr>
            <w:r w:rsidRPr="00287B57">
              <w:rPr>
                <w:noProof/>
                <w:sz w:val="20"/>
                <w:lang w:eastAsia="es-MX"/>
              </w:rPr>
              <w:t>Establece o modifica definiciones, clasificaciones, metodologías, criterios, caracterizaciones o cualquier otro término de referencia, afectando derechos, obligaciones, prestaciones o trámites de los particulares.</w:t>
            </w:r>
          </w:p>
        </w:tc>
        <w:tc>
          <w:tcPr>
            <w:tcW w:w="1134" w:type="dxa"/>
            <w:tcBorders>
              <w:top w:val="single" w:sz="4" w:space="0" w:color="auto"/>
              <w:left w:val="single" w:sz="4" w:space="0" w:color="auto"/>
              <w:bottom w:val="single" w:sz="4" w:space="0" w:color="auto"/>
              <w:right w:val="single" w:sz="4" w:space="0" w:color="auto"/>
            </w:tcBorders>
          </w:tcPr>
          <w:p w:rsidR="003A5D1F" w:rsidRPr="003A5D1F" w:rsidRDefault="003A5D1F">
            <w:pPr>
              <w:rPr>
                <w:b/>
              </w:rPr>
            </w:pPr>
            <w:r w:rsidRPr="003A5D1F">
              <w:rPr>
                <w:b/>
                <w:noProof/>
                <w:sz w:val="20"/>
                <w:lang w:eastAsia="es-MX"/>
              </w:rPr>
              <w:t>NO</w:t>
            </w:r>
          </w:p>
        </w:tc>
      </w:tr>
    </w:tbl>
    <w:p w:rsidR="00247DFB" w:rsidRDefault="00247DFB" w:rsidP="00FF2AED">
      <w:pPr>
        <w:tabs>
          <w:tab w:val="left" w:pos="9923"/>
        </w:tabs>
        <w:spacing w:after="0" w:line="264" w:lineRule="auto"/>
        <w:ind w:right="51"/>
        <w:jc w:val="both"/>
        <w:rPr>
          <w:sz w:val="20"/>
        </w:rPr>
      </w:pPr>
    </w:p>
    <w:p w:rsidR="00247DFB" w:rsidRPr="00F94729" w:rsidRDefault="00486183" w:rsidP="00FF2AED">
      <w:pPr>
        <w:shd w:val="clear" w:color="auto" w:fill="548DD4"/>
        <w:spacing w:after="140" w:line="288" w:lineRule="auto"/>
        <w:ind w:firstLine="284"/>
        <w:rPr>
          <w:b/>
          <w:color w:val="FFFFFF"/>
          <w:sz w:val="20"/>
          <w:szCs w:val="20"/>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-31321</wp:posOffset>
                </wp:positionH>
                <wp:positionV relativeFrom="paragraph">
                  <wp:posOffset>239956</wp:posOffset>
                </wp:positionV>
                <wp:extent cx="6374765" cy="3057896"/>
                <wp:effectExtent l="0" t="0" r="26035"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30578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5pt;margin-top:18.9pt;width:501.95pt;height:2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Kneg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" filled="f"/>
            </w:pict>
          </mc:Fallback>
        </mc:AlternateContent>
      </w:r>
      <w:r w:rsidR="00247DFB">
        <w:rPr>
          <w:b/>
          <w:color w:val="FFFFFF"/>
          <w:sz w:val="20"/>
          <w:szCs w:val="20"/>
        </w:rPr>
        <w:t>III.- ANEXOS</w:t>
      </w:r>
    </w:p>
    <w:p w:rsidR="00247DFB" w:rsidRPr="003A5D1F" w:rsidRDefault="00247DFB" w:rsidP="004E25E1">
      <w:pPr>
        <w:tabs>
          <w:tab w:val="left" w:pos="9923"/>
        </w:tabs>
        <w:spacing w:after="0" w:line="240" w:lineRule="auto"/>
        <w:ind w:right="51"/>
        <w:jc w:val="both"/>
        <w:rPr>
          <w:sz w:val="20"/>
          <w:szCs w:val="20"/>
        </w:rPr>
      </w:pPr>
      <w:r w:rsidRPr="003A5D1F">
        <w:rPr>
          <w:sz w:val="20"/>
          <w:szCs w:val="20"/>
        </w:rPr>
        <w:t>Anexe las versiones electrónicas de los documentos consultados o elaborados para diseñar la regulación.</w:t>
      </w:r>
    </w:p>
    <w:p w:rsidR="003A5D1F" w:rsidRPr="004E25E1" w:rsidRDefault="003A5D1F" w:rsidP="004E25E1">
      <w:pPr>
        <w:pStyle w:val="Prrafodelista"/>
        <w:numPr>
          <w:ilvl w:val="0"/>
          <w:numId w:val="23"/>
        </w:numPr>
        <w:spacing w:after="0" w:line="240" w:lineRule="auto"/>
        <w:jc w:val="both"/>
        <w:rPr>
          <w:rFonts w:cs="Arial"/>
          <w:sz w:val="20"/>
          <w:szCs w:val="20"/>
        </w:rPr>
      </w:pPr>
      <w:r w:rsidRPr="004E25E1">
        <w:rPr>
          <w:rFonts w:cs="Arial"/>
          <w:sz w:val="20"/>
          <w:szCs w:val="20"/>
        </w:rPr>
        <w:t>Ley del Seguro Social</w:t>
      </w:r>
    </w:p>
    <w:p w:rsidR="001204BA" w:rsidRPr="001204BA" w:rsidRDefault="003A5D1F" w:rsidP="001204BA">
      <w:pPr>
        <w:numPr>
          <w:ilvl w:val="0"/>
          <w:numId w:val="23"/>
        </w:numPr>
        <w:spacing w:before="120" w:after="120" w:line="240" w:lineRule="auto"/>
        <w:ind w:right="51"/>
        <w:jc w:val="both"/>
        <w:rPr>
          <w:b/>
          <w:sz w:val="20"/>
          <w:szCs w:val="20"/>
        </w:rPr>
      </w:pPr>
      <w:r w:rsidRPr="001204BA">
        <w:rPr>
          <w:rFonts w:cs="Arial"/>
          <w:sz w:val="20"/>
          <w:szCs w:val="20"/>
        </w:rPr>
        <w:t>Reglamento Interior del Instituto Mexicano del Seguro Social</w:t>
      </w:r>
    </w:p>
    <w:p w:rsidR="00111B31" w:rsidRDefault="00111B31" w:rsidP="00111B31">
      <w:pPr>
        <w:numPr>
          <w:ilvl w:val="0"/>
          <w:numId w:val="23"/>
        </w:numPr>
        <w:spacing w:before="120" w:after="120" w:line="240" w:lineRule="auto"/>
        <w:ind w:right="51"/>
        <w:jc w:val="both"/>
        <w:rPr>
          <w:b/>
          <w:sz w:val="20"/>
          <w:szCs w:val="20"/>
        </w:rPr>
      </w:pPr>
      <w:r>
        <w:rPr>
          <w:rFonts w:cs="Arial"/>
          <w:sz w:val="20"/>
          <w:szCs w:val="20"/>
        </w:rPr>
        <w:t xml:space="preserve">Acuerdo número </w:t>
      </w:r>
      <w:r>
        <w:rPr>
          <w:sz w:val="20"/>
          <w:szCs w:val="20"/>
        </w:rPr>
        <w:t>141/1999</w:t>
      </w:r>
    </w:p>
    <w:p w:rsidR="00111B31" w:rsidRDefault="00111B31" w:rsidP="00111B31">
      <w:pPr>
        <w:numPr>
          <w:ilvl w:val="0"/>
          <w:numId w:val="23"/>
        </w:numPr>
        <w:spacing w:before="120" w:after="120" w:line="240" w:lineRule="auto"/>
        <w:ind w:right="51"/>
        <w:jc w:val="both"/>
        <w:rPr>
          <w:b/>
          <w:sz w:val="20"/>
          <w:szCs w:val="20"/>
        </w:rPr>
      </w:pPr>
      <w:r>
        <w:rPr>
          <w:rFonts w:cs="Arial"/>
          <w:sz w:val="20"/>
          <w:szCs w:val="20"/>
        </w:rPr>
        <w:t>Acuerdo número 443/2006</w:t>
      </w:r>
    </w:p>
    <w:p w:rsidR="00111B31" w:rsidRDefault="00111B31" w:rsidP="00111B31">
      <w:pPr>
        <w:numPr>
          <w:ilvl w:val="0"/>
          <w:numId w:val="23"/>
        </w:numPr>
        <w:spacing w:before="120" w:after="120" w:line="240" w:lineRule="auto"/>
        <w:ind w:right="51"/>
        <w:jc w:val="both"/>
        <w:rPr>
          <w:b/>
          <w:sz w:val="20"/>
          <w:szCs w:val="20"/>
        </w:rPr>
      </w:pPr>
      <w:r>
        <w:rPr>
          <w:rFonts w:cs="Arial"/>
          <w:sz w:val="20"/>
          <w:szCs w:val="20"/>
        </w:rPr>
        <w:t>Acuerdo número 322/2013</w:t>
      </w:r>
    </w:p>
    <w:p w:rsidR="00111B31" w:rsidRDefault="00111B31" w:rsidP="00111B31">
      <w:pPr>
        <w:numPr>
          <w:ilvl w:val="0"/>
          <w:numId w:val="23"/>
        </w:numPr>
        <w:spacing w:before="120" w:after="120" w:line="240" w:lineRule="auto"/>
        <w:ind w:right="51"/>
        <w:jc w:val="both"/>
        <w:rPr>
          <w:b/>
          <w:sz w:val="20"/>
          <w:szCs w:val="20"/>
        </w:rPr>
      </w:pPr>
      <w:r>
        <w:rPr>
          <w:rFonts w:cs="Arial"/>
          <w:sz w:val="20"/>
          <w:szCs w:val="20"/>
        </w:rPr>
        <w:t>Acuerdo número 355/2013</w:t>
      </w:r>
    </w:p>
    <w:p w:rsidR="00111B31" w:rsidRDefault="00111B31" w:rsidP="00111B31">
      <w:pPr>
        <w:numPr>
          <w:ilvl w:val="0"/>
          <w:numId w:val="23"/>
        </w:numPr>
        <w:spacing w:before="120" w:after="120" w:line="240" w:lineRule="auto"/>
        <w:ind w:right="51"/>
        <w:jc w:val="both"/>
        <w:rPr>
          <w:b/>
          <w:sz w:val="20"/>
          <w:szCs w:val="20"/>
        </w:rPr>
      </w:pPr>
      <w:r>
        <w:rPr>
          <w:rFonts w:cs="Arial"/>
          <w:sz w:val="20"/>
          <w:szCs w:val="20"/>
        </w:rPr>
        <w:t>Acuerdo número 361/2013</w:t>
      </w:r>
    </w:p>
    <w:p w:rsidR="00111B31" w:rsidRDefault="00111B31" w:rsidP="00111B31">
      <w:pPr>
        <w:numPr>
          <w:ilvl w:val="0"/>
          <w:numId w:val="23"/>
        </w:numPr>
        <w:spacing w:before="120" w:after="120" w:line="240" w:lineRule="auto"/>
        <w:ind w:right="51"/>
        <w:jc w:val="both"/>
        <w:rPr>
          <w:b/>
          <w:sz w:val="20"/>
          <w:szCs w:val="20"/>
        </w:rPr>
      </w:pPr>
      <w:r>
        <w:rPr>
          <w:rFonts w:cs="Arial"/>
          <w:sz w:val="20"/>
          <w:szCs w:val="20"/>
        </w:rPr>
        <w:t>Acuerdo número 10/2014</w:t>
      </w:r>
    </w:p>
    <w:p w:rsidR="00111B31" w:rsidRDefault="00111B31" w:rsidP="00111B31">
      <w:pPr>
        <w:numPr>
          <w:ilvl w:val="0"/>
          <w:numId w:val="23"/>
        </w:numPr>
        <w:spacing w:before="120" w:after="120" w:line="240" w:lineRule="auto"/>
        <w:ind w:right="51"/>
        <w:jc w:val="both"/>
        <w:rPr>
          <w:b/>
          <w:sz w:val="20"/>
          <w:szCs w:val="20"/>
        </w:rPr>
      </w:pPr>
      <w:r>
        <w:rPr>
          <w:rFonts w:cs="Arial"/>
          <w:sz w:val="20"/>
          <w:szCs w:val="20"/>
        </w:rPr>
        <w:t>Acuerdo número 72/2014</w:t>
      </w:r>
    </w:p>
    <w:p w:rsidR="00111B31" w:rsidRDefault="00111B31" w:rsidP="00111B31">
      <w:pPr>
        <w:numPr>
          <w:ilvl w:val="0"/>
          <w:numId w:val="23"/>
        </w:numPr>
        <w:spacing w:before="120" w:after="120" w:line="240" w:lineRule="auto"/>
        <w:ind w:right="51"/>
        <w:jc w:val="both"/>
        <w:rPr>
          <w:b/>
          <w:sz w:val="20"/>
          <w:szCs w:val="20"/>
        </w:rPr>
      </w:pPr>
      <w:r>
        <w:rPr>
          <w:rFonts w:cs="Arial"/>
          <w:sz w:val="20"/>
          <w:szCs w:val="20"/>
        </w:rPr>
        <w:t>Acuerdo número219/2014</w:t>
      </w:r>
    </w:p>
    <w:p w:rsidR="00111B31" w:rsidRDefault="00111B31" w:rsidP="00111B31">
      <w:pPr>
        <w:numPr>
          <w:ilvl w:val="0"/>
          <w:numId w:val="23"/>
        </w:numPr>
        <w:spacing w:before="120" w:after="120" w:line="240" w:lineRule="auto"/>
        <w:ind w:right="51"/>
        <w:jc w:val="both"/>
        <w:rPr>
          <w:b/>
          <w:sz w:val="20"/>
          <w:szCs w:val="20"/>
        </w:rPr>
      </w:pPr>
      <w:r>
        <w:rPr>
          <w:rFonts w:cs="Arial"/>
          <w:sz w:val="20"/>
          <w:szCs w:val="20"/>
        </w:rPr>
        <w:t>Acuerdo número  95/2016</w:t>
      </w:r>
    </w:p>
    <w:p w:rsidR="00111B31" w:rsidRDefault="00111B31" w:rsidP="00111B31">
      <w:pPr>
        <w:numPr>
          <w:ilvl w:val="0"/>
          <w:numId w:val="23"/>
        </w:numPr>
        <w:spacing w:before="120" w:after="120" w:line="240" w:lineRule="auto"/>
        <w:ind w:right="51"/>
        <w:jc w:val="both"/>
        <w:rPr>
          <w:b/>
          <w:sz w:val="20"/>
          <w:szCs w:val="20"/>
        </w:rPr>
      </w:pPr>
      <w:r>
        <w:rPr>
          <w:rFonts w:cs="Arial"/>
          <w:sz w:val="20"/>
          <w:szCs w:val="20"/>
        </w:rPr>
        <w:t>Acuerdo número 2018/2016</w:t>
      </w:r>
    </w:p>
    <w:p w:rsidR="00111B31" w:rsidRDefault="00111B31" w:rsidP="00111B31">
      <w:pPr>
        <w:numPr>
          <w:ilvl w:val="0"/>
          <w:numId w:val="23"/>
        </w:numPr>
        <w:spacing w:before="120" w:after="120" w:line="240" w:lineRule="auto"/>
        <w:ind w:right="51"/>
        <w:jc w:val="both"/>
        <w:rPr>
          <w:b/>
          <w:sz w:val="20"/>
          <w:szCs w:val="20"/>
        </w:rPr>
      </w:pPr>
      <w:r>
        <w:rPr>
          <w:noProof/>
          <w:lang w:eastAsia="es-MX"/>
        </w:rPr>
        <w:lastRenderedPageBreak/>
        <mc:AlternateContent>
          <mc:Choice Requires="wps">
            <w:drawing>
              <wp:anchor distT="0" distB="0" distL="114300" distR="114300" simplePos="0" relativeHeight="251666432" behindDoc="0" locked="0" layoutInCell="1" allowOverlap="1" wp14:anchorId="240DB6EE" wp14:editId="3D2F81C8">
                <wp:simplePos x="0" y="0"/>
                <wp:positionH relativeFrom="column">
                  <wp:posOffset>123058</wp:posOffset>
                </wp:positionH>
                <wp:positionV relativeFrom="paragraph">
                  <wp:posOffset>-138198</wp:posOffset>
                </wp:positionV>
                <wp:extent cx="6374765" cy="955964"/>
                <wp:effectExtent l="0" t="0" r="26035" b="158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9559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7pt;margin-top:-10.9pt;width:501.95pt;height:7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" filled="f"/>
            </w:pict>
          </mc:Fallback>
        </mc:AlternateContent>
      </w:r>
      <w:r>
        <w:rPr>
          <w:rFonts w:cs="Arial"/>
          <w:sz w:val="20"/>
          <w:szCs w:val="20"/>
        </w:rPr>
        <w:t>Acuerdo número 241/2016</w:t>
      </w:r>
    </w:p>
    <w:p w:rsidR="00111B31" w:rsidRDefault="00111B31" w:rsidP="00111B31">
      <w:pPr>
        <w:numPr>
          <w:ilvl w:val="0"/>
          <w:numId w:val="23"/>
        </w:numPr>
        <w:spacing w:before="120" w:after="120" w:line="240" w:lineRule="auto"/>
        <w:ind w:right="51"/>
        <w:jc w:val="both"/>
        <w:rPr>
          <w:b/>
          <w:sz w:val="20"/>
          <w:szCs w:val="20"/>
        </w:rPr>
      </w:pPr>
      <w:r>
        <w:rPr>
          <w:rFonts w:cs="Arial"/>
          <w:sz w:val="20"/>
          <w:szCs w:val="20"/>
        </w:rPr>
        <w:t>Acuerdo número 378/2016</w:t>
      </w:r>
    </w:p>
    <w:p w:rsidR="00111B31" w:rsidRDefault="00111B31" w:rsidP="00111B31">
      <w:pPr>
        <w:numPr>
          <w:ilvl w:val="0"/>
          <w:numId w:val="23"/>
        </w:numPr>
        <w:spacing w:before="120" w:after="120" w:line="240" w:lineRule="auto"/>
        <w:ind w:right="51"/>
        <w:jc w:val="both"/>
        <w:rPr>
          <w:b/>
          <w:sz w:val="20"/>
          <w:szCs w:val="20"/>
        </w:rPr>
      </w:pPr>
      <w:r>
        <w:rPr>
          <w:rFonts w:cs="Arial"/>
          <w:sz w:val="20"/>
          <w:szCs w:val="20"/>
        </w:rPr>
        <w:t>Acuerdo número  29/2017</w:t>
      </w:r>
    </w:p>
    <w:p w:rsidR="001204BA" w:rsidRPr="00524FFA" w:rsidRDefault="001204BA" w:rsidP="00A67DF4">
      <w:pPr>
        <w:spacing w:before="120" w:after="120" w:line="240" w:lineRule="auto"/>
        <w:ind w:right="51"/>
        <w:jc w:val="both"/>
        <w:rPr>
          <w:b/>
          <w:sz w:val="20"/>
          <w:szCs w:val="20"/>
        </w:rPr>
      </w:pPr>
      <w:bookmarkStart w:id="0" w:name="_GoBack"/>
      <w:bookmarkEnd w:id="0"/>
    </w:p>
    <w:sectPr w:rsidR="001204BA" w:rsidRPr="00524FFA" w:rsidSect="00011728">
      <w:footerReference w:type="default" r:id="rId9"/>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2A" w:rsidRDefault="009E5E2A" w:rsidP="00D46458">
      <w:pPr>
        <w:spacing w:after="0" w:line="240" w:lineRule="auto"/>
      </w:pPr>
      <w:r>
        <w:separator/>
      </w:r>
    </w:p>
  </w:endnote>
  <w:endnote w:type="continuationSeparator" w:id="0">
    <w:p w:rsidR="009E5E2A" w:rsidRDefault="009E5E2A" w:rsidP="00D4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FB" w:rsidRPr="00C029C0" w:rsidRDefault="00247DFB">
    <w:pPr>
      <w:pStyle w:val="Piedepgina"/>
      <w:jc w:val="right"/>
      <w:rPr>
        <w:sz w:val="16"/>
        <w:szCs w:val="16"/>
      </w:rPr>
    </w:pPr>
    <w:r w:rsidRPr="00C029C0">
      <w:rPr>
        <w:sz w:val="16"/>
        <w:szCs w:val="16"/>
      </w:rPr>
      <w:fldChar w:fldCharType="begin"/>
    </w:r>
    <w:r w:rsidRPr="00C029C0">
      <w:rPr>
        <w:sz w:val="16"/>
        <w:szCs w:val="16"/>
      </w:rPr>
      <w:instrText xml:space="preserve"> PAGE   \* MERGEFORMAT </w:instrText>
    </w:r>
    <w:r w:rsidRPr="00C029C0">
      <w:rPr>
        <w:sz w:val="16"/>
        <w:szCs w:val="16"/>
      </w:rPr>
      <w:fldChar w:fldCharType="separate"/>
    </w:r>
    <w:r w:rsidR="00111B31">
      <w:rPr>
        <w:noProof/>
        <w:sz w:val="16"/>
        <w:szCs w:val="16"/>
      </w:rPr>
      <w:t>3</w:t>
    </w:r>
    <w:r w:rsidRPr="00C029C0">
      <w:rPr>
        <w:sz w:val="16"/>
        <w:szCs w:val="16"/>
      </w:rPr>
      <w:fldChar w:fldCharType="end"/>
    </w:r>
  </w:p>
  <w:p w:rsidR="00247DFB" w:rsidRDefault="00247D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2A" w:rsidRDefault="009E5E2A" w:rsidP="00D46458">
      <w:pPr>
        <w:spacing w:after="0" w:line="240" w:lineRule="auto"/>
      </w:pPr>
      <w:r>
        <w:separator/>
      </w:r>
    </w:p>
  </w:footnote>
  <w:footnote w:type="continuationSeparator" w:id="0">
    <w:p w:rsidR="009E5E2A" w:rsidRDefault="009E5E2A" w:rsidP="00D46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EFB"/>
    <w:multiLevelType w:val="hybridMultilevel"/>
    <w:tmpl w:val="4E683D88"/>
    <w:lvl w:ilvl="0" w:tplc="0C0A001B">
      <w:start w:val="1"/>
      <w:numFmt w:val="low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93933CB"/>
    <w:multiLevelType w:val="hybridMultilevel"/>
    <w:tmpl w:val="7DA2388A"/>
    <w:lvl w:ilvl="0" w:tplc="080A0013">
      <w:start w:val="1"/>
      <w:numFmt w:val="upperRoman"/>
      <w:lvlText w:val="%1."/>
      <w:lvlJc w:val="right"/>
      <w:pPr>
        <w:ind w:left="1571" w:hanging="360"/>
      </w:pPr>
      <w:rPr>
        <w:rFonts w:cs="Times New Roman"/>
      </w:rPr>
    </w:lvl>
    <w:lvl w:ilvl="1" w:tplc="080A0019" w:tentative="1">
      <w:start w:val="1"/>
      <w:numFmt w:val="lowerLetter"/>
      <w:lvlText w:val="%2."/>
      <w:lvlJc w:val="left"/>
      <w:pPr>
        <w:ind w:left="2291" w:hanging="360"/>
      </w:pPr>
      <w:rPr>
        <w:rFonts w:cs="Times New Roman"/>
      </w:rPr>
    </w:lvl>
    <w:lvl w:ilvl="2" w:tplc="080A001B" w:tentative="1">
      <w:start w:val="1"/>
      <w:numFmt w:val="lowerRoman"/>
      <w:lvlText w:val="%3."/>
      <w:lvlJc w:val="right"/>
      <w:pPr>
        <w:ind w:left="3011" w:hanging="180"/>
      </w:pPr>
      <w:rPr>
        <w:rFonts w:cs="Times New Roman"/>
      </w:rPr>
    </w:lvl>
    <w:lvl w:ilvl="3" w:tplc="080A000F" w:tentative="1">
      <w:start w:val="1"/>
      <w:numFmt w:val="decimal"/>
      <w:lvlText w:val="%4."/>
      <w:lvlJc w:val="left"/>
      <w:pPr>
        <w:ind w:left="3731" w:hanging="360"/>
      </w:pPr>
      <w:rPr>
        <w:rFonts w:cs="Times New Roman"/>
      </w:rPr>
    </w:lvl>
    <w:lvl w:ilvl="4" w:tplc="080A0019" w:tentative="1">
      <w:start w:val="1"/>
      <w:numFmt w:val="lowerLetter"/>
      <w:lvlText w:val="%5."/>
      <w:lvlJc w:val="left"/>
      <w:pPr>
        <w:ind w:left="4451" w:hanging="360"/>
      </w:pPr>
      <w:rPr>
        <w:rFonts w:cs="Times New Roman"/>
      </w:rPr>
    </w:lvl>
    <w:lvl w:ilvl="5" w:tplc="080A001B" w:tentative="1">
      <w:start w:val="1"/>
      <w:numFmt w:val="lowerRoman"/>
      <w:lvlText w:val="%6."/>
      <w:lvlJc w:val="right"/>
      <w:pPr>
        <w:ind w:left="5171" w:hanging="180"/>
      </w:pPr>
      <w:rPr>
        <w:rFonts w:cs="Times New Roman"/>
      </w:rPr>
    </w:lvl>
    <w:lvl w:ilvl="6" w:tplc="080A000F" w:tentative="1">
      <w:start w:val="1"/>
      <w:numFmt w:val="decimal"/>
      <w:lvlText w:val="%7."/>
      <w:lvlJc w:val="left"/>
      <w:pPr>
        <w:ind w:left="5891" w:hanging="360"/>
      </w:pPr>
      <w:rPr>
        <w:rFonts w:cs="Times New Roman"/>
      </w:rPr>
    </w:lvl>
    <w:lvl w:ilvl="7" w:tplc="080A0019" w:tentative="1">
      <w:start w:val="1"/>
      <w:numFmt w:val="lowerLetter"/>
      <w:lvlText w:val="%8."/>
      <w:lvlJc w:val="left"/>
      <w:pPr>
        <w:ind w:left="6611" w:hanging="360"/>
      </w:pPr>
      <w:rPr>
        <w:rFonts w:cs="Times New Roman"/>
      </w:rPr>
    </w:lvl>
    <w:lvl w:ilvl="8" w:tplc="080A001B" w:tentative="1">
      <w:start w:val="1"/>
      <w:numFmt w:val="lowerRoman"/>
      <w:lvlText w:val="%9."/>
      <w:lvlJc w:val="right"/>
      <w:pPr>
        <w:ind w:left="7331" w:hanging="180"/>
      </w:pPr>
      <w:rPr>
        <w:rFonts w:cs="Times New Roman"/>
      </w:rPr>
    </w:lvl>
  </w:abstractNum>
  <w:abstractNum w:abstractNumId="2">
    <w:nsid w:val="30AD0890"/>
    <w:multiLevelType w:val="hybridMultilevel"/>
    <w:tmpl w:val="3E34E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58170F"/>
    <w:multiLevelType w:val="hybridMultilevel"/>
    <w:tmpl w:val="00DAF80E"/>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338C477B"/>
    <w:multiLevelType w:val="hybridMultilevel"/>
    <w:tmpl w:val="354C2B60"/>
    <w:lvl w:ilvl="0" w:tplc="F2B2491C">
      <w:start w:val="1"/>
      <w:numFmt w:val="lowerRoman"/>
      <w:lvlText w:val="%1."/>
      <w:lvlJc w:val="left"/>
      <w:pPr>
        <w:ind w:left="1080" w:hanging="720"/>
      </w:pPr>
      <w:rPr>
        <w:rFonts w:eastAsia="Times New Roman"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34E15D69"/>
    <w:multiLevelType w:val="hybridMultilevel"/>
    <w:tmpl w:val="79ECC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E6E50DC"/>
    <w:multiLevelType w:val="hybridMultilevel"/>
    <w:tmpl w:val="791A4F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384094"/>
    <w:multiLevelType w:val="hybridMultilevel"/>
    <w:tmpl w:val="953A472E"/>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4B430A13"/>
    <w:multiLevelType w:val="hybridMultilevel"/>
    <w:tmpl w:val="C7FA5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1F087A"/>
    <w:multiLevelType w:val="hybridMultilevel"/>
    <w:tmpl w:val="B38CA06E"/>
    <w:lvl w:ilvl="0" w:tplc="86E0A368">
      <w:start w:val="11"/>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4FD30B5B"/>
    <w:multiLevelType w:val="hybridMultilevel"/>
    <w:tmpl w:val="A4CE0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80A3B96"/>
    <w:multiLevelType w:val="hybridMultilevel"/>
    <w:tmpl w:val="7166E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84763C4"/>
    <w:multiLevelType w:val="hybridMultilevel"/>
    <w:tmpl w:val="4E683D88"/>
    <w:lvl w:ilvl="0" w:tplc="0C0A001B">
      <w:start w:val="1"/>
      <w:numFmt w:val="low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61456316"/>
    <w:multiLevelType w:val="hybridMultilevel"/>
    <w:tmpl w:val="33467722"/>
    <w:lvl w:ilvl="0" w:tplc="080A0013">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6D343D69"/>
    <w:multiLevelType w:val="hybridMultilevel"/>
    <w:tmpl w:val="34BA5538"/>
    <w:lvl w:ilvl="0" w:tplc="080A001B">
      <w:start w:val="1"/>
      <w:numFmt w:val="low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6D83046E"/>
    <w:multiLevelType w:val="hybridMultilevel"/>
    <w:tmpl w:val="2384CF2C"/>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70971416"/>
    <w:multiLevelType w:val="hybridMultilevel"/>
    <w:tmpl w:val="993C0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4B41F9"/>
    <w:multiLevelType w:val="hybridMultilevel"/>
    <w:tmpl w:val="57469866"/>
    <w:lvl w:ilvl="0" w:tplc="86E0A368">
      <w:start w:val="1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5905811"/>
    <w:multiLevelType w:val="hybridMultilevel"/>
    <w:tmpl w:val="BF2A2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B1686E"/>
    <w:multiLevelType w:val="hybridMultilevel"/>
    <w:tmpl w:val="44BE7A36"/>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770C5328"/>
    <w:multiLevelType w:val="hybridMultilevel"/>
    <w:tmpl w:val="B2F4D9BE"/>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7C115D2F"/>
    <w:multiLevelType w:val="hybridMultilevel"/>
    <w:tmpl w:val="D1D43E76"/>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7C6D3ACE"/>
    <w:multiLevelType w:val="hybridMultilevel"/>
    <w:tmpl w:val="0F62819A"/>
    <w:lvl w:ilvl="0" w:tplc="0C08F81C">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7"/>
  </w:num>
  <w:num w:numId="2">
    <w:abstractNumId w:val="15"/>
  </w:num>
  <w:num w:numId="3">
    <w:abstractNumId w:val="20"/>
  </w:num>
  <w:num w:numId="4">
    <w:abstractNumId w:val="3"/>
  </w:num>
  <w:num w:numId="5">
    <w:abstractNumId w:val="21"/>
  </w:num>
  <w:num w:numId="6">
    <w:abstractNumId w:val="19"/>
  </w:num>
  <w:num w:numId="7">
    <w:abstractNumId w:val="22"/>
  </w:num>
  <w:num w:numId="8">
    <w:abstractNumId w:val="1"/>
  </w:num>
  <w:num w:numId="9">
    <w:abstractNumId w:val="4"/>
  </w:num>
  <w:num w:numId="10">
    <w:abstractNumId w:val="6"/>
  </w:num>
  <w:num w:numId="11">
    <w:abstractNumId w:val="13"/>
  </w:num>
  <w:num w:numId="12">
    <w:abstractNumId w:val="17"/>
  </w:num>
  <w:num w:numId="13">
    <w:abstractNumId w:val="9"/>
  </w:num>
  <w:num w:numId="14">
    <w:abstractNumId w:val="16"/>
  </w:num>
  <w:num w:numId="15">
    <w:abstractNumId w:val="11"/>
  </w:num>
  <w:num w:numId="16">
    <w:abstractNumId w:val="0"/>
  </w:num>
  <w:num w:numId="17">
    <w:abstractNumId w:val="8"/>
  </w:num>
  <w:num w:numId="18">
    <w:abstractNumId w:val="2"/>
  </w:num>
  <w:num w:numId="19">
    <w:abstractNumId w:val="12"/>
  </w:num>
  <w:num w:numId="20">
    <w:abstractNumId w:val="18"/>
  </w:num>
  <w:num w:numId="21">
    <w:abstractNumId w:val="14"/>
  </w:num>
  <w:num w:numId="22">
    <w:abstractNumId w:val="10"/>
  </w:num>
  <w:num w:numId="23">
    <w:abstractNumId w:val="5"/>
  </w:num>
  <w:num w:numId="2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E4"/>
    <w:rsid w:val="00006324"/>
    <w:rsid w:val="00011728"/>
    <w:rsid w:val="0002283B"/>
    <w:rsid w:val="00024FF8"/>
    <w:rsid w:val="00032C64"/>
    <w:rsid w:val="00041169"/>
    <w:rsid w:val="00046AF9"/>
    <w:rsid w:val="00051FB5"/>
    <w:rsid w:val="00052A4F"/>
    <w:rsid w:val="000825A4"/>
    <w:rsid w:val="000854CE"/>
    <w:rsid w:val="000A3E60"/>
    <w:rsid w:val="000B4345"/>
    <w:rsid w:val="000B6504"/>
    <w:rsid w:val="000D4936"/>
    <w:rsid w:val="000D72D2"/>
    <w:rsid w:val="000E372A"/>
    <w:rsid w:val="0010152F"/>
    <w:rsid w:val="001037C8"/>
    <w:rsid w:val="00111B31"/>
    <w:rsid w:val="0011319B"/>
    <w:rsid w:val="00116C72"/>
    <w:rsid w:val="001204BA"/>
    <w:rsid w:val="00130D71"/>
    <w:rsid w:val="00131601"/>
    <w:rsid w:val="0013566E"/>
    <w:rsid w:val="0014112F"/>
    <w:rsid w:val="0014118A"/>
    <w:rsid w:val="001442F5"/>
    <w:rsid w:val="00146D5F"/>
    <w:rsid w:val="00160036"/>
    <w:rsid w:val="00163426"/>
    <w:rsid w:val="00177783"/>
    <w:rsid w:val="001813C6"/>
    <w:rsid w:val="00190658"/>
    <w:rsid w:val="00193A33"/>
    <w:rsid w:val="001962CA"/>
    <w:rsid w:val="001A0429"/>
    <w:rsid w:val="001A65B3"/>
    <w:rsid w:val="001B2080"/>
    <w:rsid w:val="001C2BF3"/>
    <w:rsid w:val="001D647D"/>
    <w:rsid w:val="001E4C7B"/>
    <w:rsid w:val="001E791F"/>
    <w:rsid w:val="001F50A2"/>
    <w:rsid w:val="001F5E06"/>
    <w:rsid w:val="00204021"/>
    <w:rsid w:val="00211E79"/>
    <w:rsid w:val="002130B2"/>
    <w:rsid w:val="00213D1C"/>
    <w:rsid w:val="0021450E"/>
    <w:rsid w:val="002249EA"/>
    <w:rsid w:val="0023710F"/>
    <w:rsid w:val="00241002"/>
    <w:rsid w:val="00242BFB"/>
    <w:rsid w:val="00247DFB"/>
    <w:rsid w:val="00264FB9"/>
    <w:rsid w:val="002665DA"/>
    <w:rsid w:val="00273D98"/>
    <w:rsid w:val="00275A2B"/>
    <w:rsid w:val="00284DDB"/>
    <w:rsid w:val="00287B57"/>
    <w:rsid w:val="002901F6"/>
    <w:rsid w:val="00297589"/>
    <w:rsid w:val="002A2BF7"/>
    <w:rsid w:val="002A3448"/>
    <w:rsid w:val="002B35ED"/>
    <w:rsid w:val="002B3B32"/>
    <w:rsid w:val="002C6300"/>
    <w:rsid w:val="002C713C"/>
    <w:rsid w:val="002D6926"/>
    <w:rsid w:val="002D78A7"/>
    <w:rsid w:val="002D7E15"/>
    <w:rsid w:val="002F39C7"/>
    <w:rsid w:val="00303A83"/>
    <w:rsid w:val="00304A15"/>
    <w:rsid w:val="00313C22"/>
    <w:rsid w:val="00317CC6"/>
    <w:rsid w:val="00320A2A"/>
    <w:rsid w:val="00322F10"/>
    <w:rsid w:val="00324587"/>
    <w:rsid w:val="00343283"/>
    <w:rsid w:val="00344643"/>
    <w:rsid w:val="003460A6"/>
    <w:rsid w:val="0036488A"/>
    <w:rsid w:val="003747C4"/>
    <w:rsid w:val="00380AF4"/>
    <w:rsid w:val="0038445D"/>
    <w:rsid w:val="00390EF0"/>
    <w:rsid w:val="003942FC"/>
    <w:rsid w:val="003A0FCB"/>
    <w:rsid w:val="003A5D1F"/>
    <w:rsid w:val="003B6357"/>
    <w:rsid w:val="003C0624"/>
    <w:rsid w:val="003C1F36"/>
    <w:rsid w:val="003C3F19"/>
    <w:rsid w:val="003D28FD"/>
    <w:rsid w:val="003D7FA7"/>
    <w:rsid w:val="003E375E"/>
    <w:rsid w:val="003F08E9"/>
    <w:rsid w:val="003F527B"/>
    <w:rsid w:val="00403DC0"/>
    <w:rsid w:val="00415030"/>
    <w:rsid w:val="0042046C"/>
    <w:rsid w:val="00444181"/>
    <w:rsid w:val="004457F3"/>
    <w:rsid w:val="004470AA"/>
    <w:rsid w:val="004530CB"/>
    <w:rsid w:val="00457134"/>
    <w:rsid w:val="004573AC"/>
    <w:rsid w:val="00472AFD"/>
    <w:rsid w:val="0047337C"/>
    <w:rsid w:val="00481BFB"/>
    <w:rsid w:val="004820D2"/>
    <w:rsid w:val="00482A21"/>
    <w:rsid w:val="00486183"/>
    <w:rsid w:val="00490EE5"/>
    <w:rsid w:val="004936A8"/>
    <w:rsid w:val="00493873"/>
    <w:rsid w:val="00494907"/>
    <w:rsid w:val="004A219A"/>
    <w:rsid w:val="004A655F"/>
    <w:rsid w:val="004B025A"/>
    <w:rsid w:val="004C00DC"/>
    <w:rsid w:val="004C66AA"/>
    <w:rsid w:val="004D0EE9"/>
    <w:rsid w:val="004E25E1"/>
    <w:rsid w:val="004E3F33"/>
    <w:rsid w:val="004E60E7"/>
    <w:rsid w:val="004F3F76"/>
    <w:rsid w:val="004F5FCA"/>
    <w:rsid w:val="00505FCF"/>
    <w:rsid w:val="005107A4"/>
    <w:rsid w:val="00517392"/>
    <w:rsid w:val="00524FFA"/>
    <w:rsid w:val="0052787C"/>
    <w:rsid w:val="005312CC"/>
    <w:rsid w:val="005522E4"/>
    <w:rsid w:val="00555720"/>
    <w:rsid w:val="00555B30"/>
    <w:rsid w:val="005568E9"/>
    <w:rsid w:val="00565E13"/>
    <w:rsid w:val="005671B0"/>
    <w:rsid w:val="00576B1E"/>
    <w:rsid w:val="00576F74"/>
    <w:rsid w:val="00580079"/>
    <w:rsid w:val="00581D22"/>
    <w:rsid w:val="00583844"/>
    <w:rsid w:val="0058396F"/>
    <w:rsid w:val="005B193B"/>
    <w:rsid w:val="005B27AF"/>
    <w:rsid w:val="005B55AF"/>
    <w:rsid w:val="005C4A98"/>
    <w:rsid w:val="005C6076"/>
    <w:rsid w:val="005C7A1D"/>
    <w:rsid w:val="005D01D4"/>
    <w:rsid w:val="005E6406"/>
    <w:rsid w:val="005E650A"/>
    <w:rsid w:val="005E71B1"/>
    <w:rsid w:val="005F282A"/>
    <w:rsid w:val="00605D9B"/>
    <w:rsid w:val="00612A5F"/>
    <w:rsid w:val="0062054A"/>
    <w:rsid w:val="00620EC8"/>
    <w:rsid w:val="00647730"/>
    <w:rsid w:val="00654ED2"/>
    <w:rsid w:val="0067179B"/>
    <w:rsid w:val="006828FE"/>
    <w:rsid w:val="006A1458"/>
    <w:rsid w:val="006A1E28"/>
    <w:rsid w:val="006A44BA"/>
    <w:rsid w:val="006A485D"/>
    <w:rsid w:val="006A7F28"/>
    <w:rsid w:val="006B7194"/>
    <w:rsid w:val="006C06CE"/>
    <w:rsid w:val="006C26D1"/>
    <w:rsid w:val="006C6077"/>
    <w:rsid w:val="006D1E7D"/>
    <w:rsid w:val="006D7C9E"/>
    <w:rsid w:val="006E747B"/>
    <w:rsid w:val="006F1656"/>
    <w:rsid w:val="006F38F9"/>
    <w:rsid w:val="007037E9"/>
    <w:rsid w:val="00703F3C"/>
    <w:rsid w:val="007064BE"/>
    <w:rsid w:val="007102BE"/>
    <w:rsid w:val="00721B70"/>
    <w:rsid w:val="0073219D"/>
    <w:rsid w:val="00733C18"/>
    <w:rsid w:val="00735B7A"/>
    <w:rsid w:val="00741733"/>
    <w:rsid w:val="00746DB1"/>
    <w:rsid w:val="00766670"/>
    <w:rsid w:val="0077173E"/>
    <w:rsid w:val="00774D72"/>
    <w:rsid w:val="007832B7"/>
    <w:rsid w:val="00784EFE"/>
    <w:rsid w:val="007864DD"/>
    <w:rsid w:val="00792697"/>
    <w:rsid w:val="00793760"/>
    <w:rsid w:val="00794600"/>
    <w:rsid w:val="0079675C"/>
    <w:rsid w:val="007969FF"/>
    <w:rsid w:val="007B2348"/>
    <w:rsid w:val="007C383A"/>
    <w:rsid w:val="007C41B7"/>
    <w:rsid w:val="007D2105"/>
    <w:rsid w:val="007D3380"/>
    <w:rsid w:val="007D498A"/>
    <w:rsid w:val="007D73D1"/>
    <w:rsid w:val="007E31D9"/>
    <w:rsid w:val="007E5739"/>
    <w:rsid w:val="007E66F6"/>
    <w:rsid w:val="007F26B1"/>
    <w:rsid w:val="008161C7"/>
    <w:rsid w:val="00816B55"/>
    <w:rsid w:val="00821B63"/>
    <w:rsid w:val="00833BA5"/>
    <w:rsid w:val="008402F7"/>
    <w:rsid w:val="008415A2"/>
    <w:rsid w:val="00843C7B"/>
    <w:rsid w:val="0084400D"/>
    <w:rsid w:val="00844414"/>
    <w:rsid w:val="008472FD"/>
    <w:rsid w:val="0085014D"/>
    <w:rsid w:val="00853B3E"/>
    <w:rsid w:val="00855FB6"/>
    <w:rsid w:val="00856925"/>
    <w:rsid w:val="00862FAD"/>
    <w:rsid w:val="00863474"/>
    <w:rsid w:val="00863D15"/>
    <w:rsid w:val="00866859"/>
    <w:rsid w:val="008875EC"/>
    <w:rsid w:val="00893150"/>
    <w:rsid w:val="00897ABA"/>
    <w:rsid w:val="008A2129"/>
    <w:rsid w:val="008B4F38"/>
    <w:rsid w:val="008C128B"/>
    <w:rsid w:val="008C5704"/>
    <w:rsid w:val="008D7E51"/>
    <w:rsid w:val="008E6088"/>
    <w:rsid w:val="008F237D"/>
    <w:rsid w:val="008F416E"/>
    <w:rsid w:val="008F71DC"/>
    <w:rsid w:val="0090217F"/>
    <w:rsid w:val="0091377C"/>
    <w:rsid w:val="00915070"/>
    <w:rsid w:val="00915E92"/>
    <w:rsid w:val="00925B74"/>
    <w:rsid w:val="0094092E"/>
    <w:rsid w:val="00945535"/>
    <w:rsid w:val="00960058"/>
    <w:rsid w:val="0096385C"/>
    <w:rsid w:val="00964921"/>
    <w:rsid w:val="0096761C"/>
    <w:rsid w:val="009734B1"/>
    <w:rsid w:val="0097538B"/>
    <w:rsid w:val="00990A15"/>
    <w:rsid w:val="0099261B"/>
    <w:rsid w:val="00996CB8"/>
    <w:rsid w:val="009A7967"/>
    <w:rsid w:val="009B19BA"/>
    <w:rsid w:val="009B1B22"/>
    <w:rsid w:val="009B1C68"/>
    <w:rsid w:val="009B2230"/>
    <w:rsid w:val="009B58B1"/>
    <w:rsid w:val="009E5E2A"/>
    <w:rsid w:val="009E617F"/>
    <w:rsid w:val="009F7DBA"/>
    <w:rsid w:val="00A01A72"/>
    <w:rsid w:val="00A07B2A"/>
    <w:rsid w:val="00A142B6"/>
    <w:rsid w:val="00A261AC"/>
    <w:rsid w:val="00A26A7E"/>
    <w:rsid w:val="00A27164"/>
    <w:rsid w:val="00A305C8"/>
    <w:rsid w:val="00A3155E"/>
    <w:rsid w:val="00A342C4"/>
    <w:rsid w:val="00A43152"/>
    <w:rsid w:val="00A53F9E"/>
    <w:rsid w:val="00A67DF4"/>
    <w:rsid w:val="00A84868"/>
    <w:rsid w:val="00A87AD6"/>
    <w:rsid w:val="00A91C55"/>
    <w:rsid w:val="00A9352C"/>
    <w:rsid w:val="00AA3766"/>
    <w:rsid w:val="00AA3B2C"/>
    <w:rsid w:val="00AB4AF0"/>
    <w:rsid w:val="00AC47FC"/>
    <w:rsid w:val="00AC4A42"/>
    <w:rsid w:val="00AD00A3"/>
    <w:rsid w:val="00AF5D30"/>
    <w:rsid w:val="00B00503"/>
    <w:rsid w:val="00B11D1C"/>
    <w:rsid w:val="00B2096D"/>
    <w:rsid w:val="00B35531"/>
    <w:rsid w:val="00B355E8"/>
    <w:rsid w:val="00B366AF"/>
    <w:rsid w:val="00B41F36"/>
    <w:rsid w:val="00B44218"/>
    <w:rsid w:val="00B47D22"/>
    <w:rsid w:val="00B64000"/>
    <w:rsid w:val="00B70E78"/>
    <w:rsid w:val="00B7190E"/>
    <w:rsid w:val="00B7376A"/>
    <w:rsid w:val="00B768DC"/>
    <w:rsid w:val="00B87889"/>
    <w:rsid w:val="00B95326"/>
    <w:rsid w:val="00B96B7A"/>
    <w:rsid w:val="00B9791E"/>
    <w:rsid w:val="00BA36C3"/>
    <w:rsid w:val="00BA3A47"/>
    <w:rsid w:val="00BA3CC9"/>
    <w:rsid w:val="00BB6941"/>
    <w:rsid w:val="00BC633F"/>
    <w:rsid w:val="00BE1C59"/>
    <w:rsid w:val="00BE219F"/>
    <w:rsid w:val="00BE3AE7"/>
    <w:rsid w:val="00BE3DEB"/>
    <w:rsid w:val="00C0293E"/>
    <w:rsid w:val="00C029C0"/>
    <w:rsid w:val="00C049C3"/>
    <w:rsid w:val="00C04B7C"/>
    <w:rsid w:val="00C0631F"/>
    <w:rsid w:val="00C07132"/>
    <w:rsid w:val="00C14CA0"/>
    <w:rsid w:val="00C159E0"/>
    <w:rsid w:val="00C33E7E"/>
    <w:rsid w:val="00C35402"/>
    <w:rsid w:val="00C4234C"/>
    <w:rsid w:val="00C4301C"/>
    <w:rsid w:val="00C44C72"/>
    <w:rsid w:val="00C4661A"/>
    <w:rsid w:val="00C51610"/>
    <w:rsid w:val="00C6398A"/>
    <w:rsid w:val="00C639BC"/>
    <w:rsid w:val="00C65310"/>
    <w:rsid w:val="00C80869"/>
    <w:rsid w:val="00C840AE"/>
    <w:rsid w:val="00C8747D"/>
    <w:rsid w:val="00CA1DAB"/>
    <w:rsid w:val="00CA272A"/>
    <w:rsid w:val="00CA2FDC"/>
    <w:rsid w:val="00CA372C"/>
    <w:rsid w:val="00CA6051"/>
    <w:rsid w:val="00CA71CF"/>
    <w:rsid w:val="00CB20B8"/>
    <w:rsid w:val="00CB6054"/>
    <w:rsid w:val="00CC4813"/>
    <w:rsid w:val="00CD11CF"/>
    <w:rsid w:val="00CD65BF"/>
    <w:rsid w:val="00CD785D"/>
    <w:rsid w:val="00CE2F09"/>
    <w:rsid w:val="00CE4ED2"/>
    <w:rsid w:val="00CF4BB4"/>
    <w:rsid w:val="00D22D54"/>
    <w:rsid w:val="00D31CB0"/>
    <w:rsid w:val="00D463B7"/>
    <w:rsid w:val="00D46458"/>
    <w:rsid w:val="00D50DE5"/>
    <w:rsid w:val="00D53F6B"/>
    <w:rsid w:val="00D66D0E"/>
    <w:rsid w:val="00D70559"/>
    <w:rsid w:val="00D72D0B"/>
    <w:rsid w:val="00D730D8"/>
    <w:rsid w:val="00D82E19"/>
    <w:rsid w:val="00D8611E"/>
    <w:rsid w:val="00D90E85"/>
    <w:rsid w:val="00D92101"/>
    <w:rsid w:val="00D924A4"/>
    <w:rsid w:val="00D96A76"/>
    <w:rsid w:val="00DA715B"/>
    <w:rsid w:val="00DB3326"/>
    <w:rsid w:val="00DB5FF6"/>
    <w:rsid w:val="00DB72E4"/>
    <w:rsid w:val="00DC0CB0"/>
    <w:rsid w:val="00DC6994"/>
    <w:rsid w:val="00DC7EB8"/>
    <w:rsid w:val="00DD4786"/>
    <w:rsid w:val="00DE1D85"/>
    <w:rsid w:val="00DF450B"/>
    <w:rsid w:val="00DF5EF6"/>
    <w:rsid w:val="00DF7C81"/>
    <w:rsid w:val="00E3467A"/>
    <w:rsid w:val="00E43916"/>
    <w:rsid w:val="00E50A2C"/>
    <w:rsid w:val="00E518F3"/>
    <w:rsid w:val="00E546F8"/>
    <w:rsid w:val="00E56D62"/>
    <w:rsid w:val="00E6223C"/>
    <w:rsid w:val="00E711E8"/>
    <w:rsid w:val="00E77797"/>
    <w:rsid w:val="00EA4C68"/>
    <w:rsid w:val="00EB6BBD"/>
    <w:rsid w:val="00EC2A2C"/>
    <w:rsid w:val="00EC7FA2"/>
    <w:rsid w:val="00ED1A15"/>
    <w:rsid w:val="00ED1E06"/>
    <w:rsid w:val="00ED46DF"/>
    <w:rsid w:val="00EE2CD0"/>
    <w:rsid w:val="00EE34A5"/>
    <w:rsid w:val="00EE43DB"/>
    <w:rsid w:val="00EE5632"/>
    <w:rsid w:val="00EE7253"/>
    <w:rsid w:val="00EF2F74"/>
    <w:rsid w:val="00EF5539"/>
    <w:rsid w:val="00EF7A72"/>
    <w:rsid w:val="00F01166"/>
    <w:rsid w:val="00F10E0C"/>
    <w:rsid w:val="00F10FB8"/>
    <w:rsid w:val="00F214E5"/>
    <w:rsid w:val="00F22C15"/>
    <w:rsid w:val="00F30460"/>
    <w:rsid w:val="00F41224"/>
    <w:rsid w:val="00F5019E"/>
    <w:rsid w:val="00F71A92"/>
    <w:rsid w:val="00F73876"/>
    <w:rsid w:val="00F77405"/>
    <w:rsid w:val="00F80CE4"/>
    <w:rsid w:val="00F900E5"/>
    <w:rsid w:val="00F90CCF"/>
    <w:rsid w:val="00F923BA"/>
    <w:rsid w:val="00F94729"/>
    <w:rsid w:val="00FA1693"/>
    <w:rsid w:val="00FA6839"/>
    <w:rsid w:val="00FB7608"/>
    <w:rsid w:val="00FC5824"/>
    <w:rsid w:val="00FD0B5C"/>
    <w:rsid w:val="00FF07A2"/>
    <w:rsid w:val="00FF2AED"/>
    <w:rsid w:val="00FF4C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BA"/>
    <w:pPr>
      <w:spacing w:after="200" w:line="276" w:lineRule="auto"/>
    </w:pPr>
    <w:rPr>
      <w:sz w:val="22"/>
      <w:szCs w:val="22"/>
      <w:lang w:eastAsia="en-US"/>
    </w:rPr>
  </w:style>
  <w:style w:type="paragraph" w:styleId="Ttulo1">
    <w:name w:val="heading 1"/>
    <w:basedOn w:val="Normal"/>
    <w:link w:val="Ttulo1Car"/>
    <w:uiPriority w:val="9"/>
    <w:qFormat/>
    <w:locked/>
    <w:rsid w:val="00E711E8"/>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link w:val="Ttulo2Car"/>
    <w:uiPriority w:val="9"/>
    <w:qFormat/>
    <w:locked/>
    <w:rsid w:val="00E711E8"/>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B72E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DB72E4"/>
    <w:rPr>
      <w:rFonts w:ascii="Tahoma" w:hAnsi="Tahoma" w:cs="Tahoma"/>
      <w:sz w:val="16"/>
      <w:szCs w:val="16"/>
    </w:rPr>
  </w:style>
  <w:style w:type="paragraph" w:styleId="Sinespaciado">
    <w:name w:val="No Spacing"/>
    <w:uiPriority w:val="99"/>
    <w:qFormat/>
    <w:rsid w:val="006F38F9"/>
    <w:rPr>
      <w:sz w:val="22"/>
      <w:szCs w:val="22"/>
      <w:lang w:eastAsia="en-US"/>
    </w:rPr>
  </w:style>
  <w:style w:type="table" w:styleId="Tablaconcuadrcula">
    <w:name w:val="Table Grid"/>
    <w:basedOn w:val="Tablanormal"/>
    <w:uiPriority w:val="99"/>
    <w:rsid w:val="00B41F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D46458"/>
    <w:pPr>
      <w:ind w:left="720"/>
      <w:contextualSpacing/>
    </w:pPr>
  </w:style>
  <w:style w:type="paragraph" w:styleId="Encabezado">
    <w:name w:val="header"/>
    <w:basedOn w:val="Normal"/>
    <w:link w:val="EncabezadoCar"/>
    <w:uiPriority w:val="99"/>
    <w:semiHidden/>
    <w:rsid w:val="00D46458"/>
    <w:pPr>
      <w:tabs>
        <w:tab w:val="center" w:pos="4419"/>
        <w:tab w:val="right" w:pos="8838"/>
      </w:tabs>
      <w:spacing w:after="0" w:line="240" w:lineRule="auto"/>
    </w:pPr>
  </w:style>
  <w:style w:type="character" w:customStyle="1" w:styleId="EncabezadoCar">
    <w:name w:val="Encabezado Car"/>
    <w:link w:val="Encabezado"/>
    <w:uiPriority w:val="99"/>
    <w:semiHidden/>
    <w:locked/>
    <w:rsid w:val="00D46458"/>
    <w:rPr>
      <w:rFonts w:cs="Times New Roman"/>
    </w:rPr>
  </w:style>
  <w:style w:type="paragraph" w:styleId="Piedepgina">
    <w:name w:val="footer"/>
    <w:basedOn w:val="Normal"/>
    <w:link w:val="PiedepginaCar"/>
    <w:uiPriority w:val="99"/>
    <w:rsid w:val="00D46458"/>
    <w:pPr>
      <w:tabs>
        <w:tab w:val="center" w:pos="4419"/>
        <w:tab w:val="right" w:pos="8838"/>
      </w:tabs>
      <w:spacing w:after="0" w:line="240" w:lineRule="auto"/>
    </w:pPr>
  </w:style>
  <w:style w:type="character" w:customStyle="1" w:styleId="PiedepginaCar">
    <w:name w:val="Pie de página Car"/>
    <w:link w:val="Piedepgina"/>
    <w:uiPriority w:val="99"/>
    <w:locked/>
    <w:rsid w:val="00D46458"/>
    <w:rPr>
      <w:rFonts w:cs="Times New Roman"/>
    </w:rPr>
  </w:style>
  <w:style w:type="character" w:styleId="Refdecomentario">
    <w:name w:val="annotation reference"/>
    <w:uiPriority w:val="99"/>
    <w:semiHidden/>
    <w:rsid w:val="00322F10"/>
    <w:rPr>
      <w:rFonts w:cs="Times New Roman"/>
      <w:sz w:val="16"/>
      <w:szCs w:val="16"/>
    </w:rPr>
  </w:style>
  <w:style w:type="paragraph" w:styleId="Textocomentario">
    <w:name w:val="annotation text"/>
    <w:basedOn w:val="Normal"/>
    <w:link w:val="TextocomentarioCar"/>
    <w:uiPriority w:val="99"/>
    <w:semiHidden/>
    <w:rsid w:val="00322F10"/>
    <w:pPr>
      <w:spacing w:line="240" w:lineRule="auto"/>
    </w:pPr>
    <w:rPr>
      <w:sz w:val="20"/>
      <w:szCs w:val="20"/>
    </w:rPr>
  </w:style>
  <w:style w:type="character" w:customStyle="1" w:styleId="TextocomentarioCar">
    <w:name w:val="Texto comentario Car"/>
    <w:link w:val="Textocomentario"/>
    <w:uiPriority w:val="99"/>
    <w:semiHidden/>
    <w:locked/>
    <w:rsid w:val="00322F10"/>
    <w:rPr>
      <w:rFonts w:cs="Times New Roman"/>
      <w:sz w:val="20"/>
      <w:szCs w:val="20"/>
    </w:rPr>
  </w:style>
  <w:style w:type="paragraph" w:styleId="Asuntodelcomentario">
    <w:name w:val="annotation subject"/>
    <w:basedOn w:val="Textocomentario"/>
    <w:next w:val="Textocomentario"/>
    <w:link w:val="AsuntodelcomentarioCar"/>
    <w:uiPriority w:val="99"/>
    <w:semiHidden/>
    <w:rsid w:val="00322F10"/>
    <w:rPr>
      <w:b/>
      <w:bCs/>
    </w:rPr>
  </w:style>
  <w:style w:type="character" w:customStyle="1" w:styleId="AsuntodelcomentarioCar">
    <w:name w:val="Asunto del comentario Car"/>
    <w:link w:val="Asuntodelcomentario"/>
    <w:uiPriority w:val="99"/>
    <w:semiHidden/>
    <w:locked/>
    <w:rsid w:val="00322F10"/>
    <w:rPr>
      <w:rFonts w:cs="Times New Roman"/>
      <w:b/>
      <w:bCs/>
      <w:sz w:val="20"/>
      <w:szCs w:val="20"/>
    </w:rPr>
  </w:style>
  <w:style w:type="paragraph" w:customStyle="1" w:styleId="Default">
    <w:name w:val="Default"/>
    <w:rsid w:val="007E5739"/>
    <w:pPr>
      <w:widowControl w:val="0"/>
      <w:autoSpaceDE w:val="0"/>
      <w:autoSpaceDN w:val="0"/>
      <w:adjustRightInd w:val="0"/>
    </w:pPr>
    <w:rPr>
      <w:rFonts w:ascii="Arial" w:eastAsia="Times New Roman" w:hAnsi="Arial" w:cs="Arial"/>
      <w:color w:val="000000"/>
      <w:sz w:val="24"/>
      <w:szCs w:val="24"/>
      <w:lang w:val="es-ES" w:eastAsia="es-ES"/>
    </w:rPr>
  </w:style>
  <w:style w:type="paragraph" w:styleId="NormalWeb">
    <w:name w:val="Normal (Web)"/>
    <w:basedOn w:val="Normal"/>
    <w:uiPriority w:val="99"/>
    <w:rsid w:val="00FA6839"/>
    <w:pPr>
      <w:spacing w:before="100" w:beforeAutospacing="1" w:after="100" w:afterAutospacing="1" w:line="240" w:lineRule="atLeast"/>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E711E8"/>
    <w:rPr>
      <w:rFonts w:ascii="Times New Roman" w:eastAsia="Times New Roman" w:hAnsi="Times New Roman"/>
      <w:b/>
      <w:bCs/>
      <w:kern w:val="36"/>
      <w:sz w:val="48"/>
      <w:szCs w:val="48"/>
    </w:rPr>
  </w:style>
  <w:style w:type="character" w:customStyle="1" w:styleId="Ttulo2Car">
    <w:name w:val="Título 2 Car"/>
    <w:basedOn w:val="Fuentedeprrafopredeter"/>
    <w:link w:val="Ttulo2"/>
    <w:uiPriority w:val="9"/>
    <w:rsid w:val="00E711E8"/>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BA"/>
    <w:pPr>
      <w:spacing w:after="200" w:line="276" w:lineRule="auto"/>
    </w:pPr>
    <w:rPr>
      <w:sz w:val="22"/>
      <w:szCs w:val="22"/>
      <w:lang w:eastAsia="en-US"/>
    </w:rPr>
  </w:style>
  <w:style w:type="paragraph" w:styleId="Ttulo1">
    <w:name w:val="heading 1"/>
    <w:basedOn w:val="Normal"/>
    <w:link w:val="Ttulo1Car"/>
    <w:uiPriority w:val="9"/>
    <w:qFormat/>
    <w:locked/>
    <w:rsid w:val="00E711E8"/>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link w:val="Ttulo2Car"/>
    <w:uiPriority w:val="9"/>
    <w:qFormat/>
    <w:locked/>
    <w:rsid w:val="00E711E8"/>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B72E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DB72E4"/>
    <w:rPr>
      <w:rFonts w:ascii="Tahoma" w:hAnsi="Tahoma" w:cs="Tahoma"/>
      <w:sz w:val="16"/>
      <w:szCs w:val="16"/>
    </w:rPr>
  </w:style>
  <w:style w:type="paragraph" w:styleId="Sinespaciado">
    <w:name w:val="No Spacing"/>
    <w:uiPriority w:val="99"/>
    <w:qFormat/>
    <w:rsid w:val="006F38F9"/>
    <w:rPr>
      <w:sz w:val="22"/>
      <w:szCs w:val="22"/>
      <w:lang w:eastAsia="en-US"/>
    </w:rPr>
  </w:style>
  <w:style w:type="table" w:styleId="Tablaconcuadrcula">
    <w:name w:val="Table Grid"/>
    <w:basedOn w:val="Tablanormal"/>
    <w:uiPriority w:val="99"/>
    <w:rsid w:val="00B41F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D46458"/>
    <w:pPr>
      <w:ind w:left="720"/>
      <w:contextualSpacing/>
    </w:pPr>
  </w:style>
  <w:style w:type="paragraph" w:styleId="Encabezado">
    <w:name w:val="header"/>
    <w:basedOn w:val="Normal"/>
    <w:link w:val="EncabezadoCar"/>
    <w:uiPriority w:val="99"/>
    <w:semiHidden/>
    <w:rsid w:val="00D46458"/>
    <w:pPr>
      <w:tabs>
        <w:tab w:val="center" w:pos="4419"/>
        <w:tab w:val="right" w:pos="8838"/>
      </w:tabs>
      <w:spacing w:after="0" w:line="240" w:lineRule="auto"/>
    </w:pPr>
  </w:style>
  <w:style w:type="character" w:customStyle="1" w:styleId="EncabezadoCar">
    <w:name w:val="Encabezado Car"/>
    <w:link w:val="Encabezado"/>
    <w:uiPriority w:val="99"/>
    <w:semiHidden/>
    <w:locked/>
    <w:rsid w:val="00D46458"/>
    <w:rPr>
      <w:rFonts w:cs="Times New Roman"/>
    </w:rPr>
  </w:style>
  <w:style w:type="paragraph" w:styleId="Piedepgina">
    <w:name w:val="footer"/>
    <w:basedOn w:val="Normal"/>
    <w:link w:val="PiedepginaCar"/>
    <w:uiPriority w:val="99"/>
    <w:rsid w:val="00D46458"/>
    <w:pPr>
      <w:tabs>
        <w:tab w:val="center" w:pos="4419"/>
        <w:tab w:val="right" w:pos="8838"/>
      </w:tabs>
      <w:spacing w:after="0" w:line="240" w:lineRule="auto"/>
    </w:pPr>
  </w:style>
  <w:style w:type="character" w:customStyle="1" w:styleId="PiedepginaCar">
    <w:name w:val="Pie de página Car"/>
    <w:link w:val="Piedepgina"/>
    <w:uiPriority w:val="99"/>
    <w:locked/>
    <w:rsid w:val="00D46458"/>
    <w:rPr>
      <w:rFonts w:cs="Times New Roman"/>
    </w:rPr>
  </w:style>
  <w:style w:type="character" w:styleId="Refdecomentario">
    <w:name w:val="annotation reference"/>
    <w:uiPriority w:val="99"/>
    <w:semiHidden/>
    <w:rsid w:val="00322F10"/>
    <w:rPr>
      <w:rFonts w:cs="Times New Roman"/>
      <w:sz w:val="16"/>
      <w:szCs w:val="16"/>
    </w:rPr>
  </w:style>
  <w:style w:type="paragraph" w:styleId="Textocomentario">
    <w:name w:val="annotation text"/>
    <w:basedOn w:val="Normal"/>
    <w:link w:val="TextocomentarioCar"/>
    <w:uiPriority w:val="99"/>
    <w:semiHidden/>
    <w:rsid w:val="00322F10"/>
    <w:pPr>
      <w:spacing w:line="240" w:lineRule="auto"/>
    </w:pPr>
    <w:rPr>
      <w:sz w:val="20"/>
      <w:szCs w:val="20"/>
    </w:rPr>
  </w:style>
  <w:style w:type="character" w:customStyle="1" w:styleId="TextocomentarioCar">
    <w:name w:val="Texto comentario Car"/>
    <w:link w:val="Textocomentario"/>
    <w:uiPriority w:val="99"/>
    <w:semiHidden/>
    <w:locked/>
    <w:rsid w:val="00322F10"/>
    <w:rPr>
      <w:rFonts w:cs="Times New Roman"/>
      <w:sz w:val="20"/>
      <w:szCs w:val="20"/>
    </w:rPr>
  </w:style>
  <w:style w:type="paragraph" w:styleId="Asuntodelcomentario">
    <w:name w:val="annotation subject"/>
    <w:basedOn w:val="Textocomentario"/>
    <w:next w:val="Textocomentario"/>
    <w:link w:val="AsuntodelcomentarioCar"/>
    <w:uiPriority w:val="99"/>
    <w:semiHidden/>
    <w:rsid w:val="00322F10"/>
    <w:rPr>
      <w:b/>
      <w:bCs/>
    </w:rPr>
  </w:style>
  <w:style w:type="character" w:customStyle="1" w:styleId="AsuntodelcomentarioCar">
    <w:name w:val="Asunto del comentario Car"/>
    <w:link w:val="Asuntodelcomentario"/>
    <w:uiPriority w:val="99"/>
    <w:semiHidden/>
    <w:locked/>
    <w:rsid w:val="00322F10"/>
    <w:rPr>
      <w:rFonts w:cs="Times New Roman"/>
      <w:b/>
      <w:bCs/>
      <w:sz w:val="20"/>
      <w:szCs w:val="20"/>
    </w:rPr>
  </w:style>
  <w:style w:type="paragraph" w:customStyle="1" w:styleId="Default">
    <w:name w:val="Default"/>
    <w:rsid w:val="007E5739"/>
    <w:pPr>
      <w:widowControl w:val="0"/>
      <w:autoSpaceDE w:val="0"/>
      <w:autoSpaceDN w:val="0"/>
      <w:adjustRightInd w:val="0"/>
    </w:pPr>
    <w:rPr>
      <w:rFonts w:ascii="Arial" w:eastAsia="Times New Roman" w:hAnsi="Arial" w:cs="Arial"/>
      <w:color w:val="000000"/>
      <w:sz w:val="24"/>
      <w:szCs w:val="24"/>
      <w:lang w:val="es-ES" w:eastAsia="es-ES"/>
    </w:rPr>
  </w:style>
  <w:style w:type="paragraph" w:styleId="NormalWeb">
    <w:name w:val="Normal (Web)"/>
    <w:basedOn w:val="Normal"/>
    <w:uiPriority w:val="99"/>
    <w:rsid w:val="00FA6839"/>
    <w:pPr>
      <w:spacing w:before="100" w:beforeAutospacing="1" w:after="100" w:afterAutospacing="1" w:line="240" w:lineRule="atLeast"/>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E711E8"/>
    <w:rPr>
      <w:rFonts w:ascii="Times New Roman" w:eastAsia="Times New Roman" w:hAnsi="Times New Roman"/>
      <w:b/>
      <w:bCs/>
      <w:kern w:val="36"/>
      <w:sz w:val="48"/>
      <w:szCs w:val="48"/>
    </w:rPr>
  </w:style>
  <w:style w:type="character" w:customStyle="1" w:styleId="Ttulo2Car">
    <w:name w:val="Título 2 Car"/>
    <w:basedOn w:val="Fuentedeprrafopredeter"/>
    <w:link w:val="Ttulo2"/>
    <w:uiPriority w:val="9"/>
    <w:rsid w:val="00E711E8"/>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19283">
      <w:bodyDiv w:val="1"/>
      <w:marLeft w:val="0"/>
      <w:marRight w:val="0"/>
      <w:marTop w:val="0"/>
      <w:marBottom w:val="0"/>
      <w:divBdr>
        <w:top w:val="none" w:sz="0" w:space="0" w:color="auto"/>
        <w:left w:val="none" w:sz="0" w:space="0" w:color="auto"/>
        <w:bottom w:val="none" w:sz="0" w:space="0" w:color="auto"/>
        <w:right w:val="none" w:sz="0" w:space="0" w:color="auto"/>
      </w:divBdr>
    </w:div>
    <w:div w:id="1140265980">
      <w:bodyDiv w:val="1"/>
      <w:marLeft w:val="0"/>
      <w:marRight w:val="0"/>
      <w:marTop w:val="0"/>
      <w:marBottom w:val="0"/>
      <w:divBdr>
        <w:top w:val="none" w:sz="0" w:space="0" w:color="auto"/>
        <w:left w:val="none" w:sz="0" w:space="0" w:color="auto"/>
        <w:bottom w:val="none" w:sz="0" w:space="0" w:color="auto"/>
        <w:right w:val="none" w:sz="0" w:space="0" w:color="auto"/>
      </w:divBdr>
      <w:divsChild>
        <w:div w:id="167644139">
          <w:marLeft w:val="0"/>
          <w:marRight w:val="0"/>
          <w:marTop w:val="240"/>
          <w:marBottom w:val="0"/>
          <w:divBdr>
            <w:top w:val="none" w:sz="0" w:space="0" w:color="auto"/>
            <w:left w:val="none" w:sz="0" w:space="0" w:color="auto"/>
            <w:bottom w:val="none" w:sz="0" w:space="0" w:color="auto"/>
            <w:right w:val="none" w:sz="0" w:space="0" w:color="auto"/>
          </w:divBdr>
          <w:divsChild>
            <w:div w:id="1330450977">
              <w:marLeft w:val="0"/>
              <w:marRight w:val="0"/>
              <w:marTop w:val="0"/>
              <w:marBottom w:val="0"/>
              <w:divBdr>
                <w:top w:val="none" w:sz="0" w:space="0" w:color="auto"/>
                <w:left w:val="none" w:sz="0" w:space="0" w:color="auto"/>
                <w:bottom w:val="none" w:sz="0" w:space="0" w:color="auto"/>
                <w:right w:val="none" w:sz="0" w:space="0" w:color="auto"/>
              </w:divBdr>
              <w:divsChild>
                <w:div w:id="2033069915">
                  <w:marLeft w:val="0"/>
                  <w:marRight w:val="0"/>
                  <w:marTop w:val="0"/>
                  <w:marBottom w:val="0"/>
                  <w:divBdr>
                    <w:top w:val="none" w:sz="0" w:space="0" w:color="auto"/>
                    <w:left w:val="none" w:sz="0" w:space="0" w:color="auto"/>
                    <w:bottom w:val="none" w:sz="0" w:space="0" w:color="auto"/>
                    <w:right w:val="none" w:sz="0" w:space="0" w:color="auto"/>
                  </w:divBdr>
                  <w:divsChild>
                    <w:div w:id="158814890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25667533">
      <w:marLeft w:val="0"/>
      <w:marRight w:val="0"/>
      <w:marTop w:val="0"/>
      <w:marBottom w:val="0"/>
      <w:divBdr>
        <w:top w:val="none" w:sz="0" w:space="0" w:color="auto"/>
        <w:left w:val="none" w:sz="0" w:space="0" w:color="auto"/>
        <w:bottom w:val="none" w:sz="0" w:space="0" w:color="auto"/>
        <w:right w:val="none" w:sz="0" w:space="0" w:color="auto"/>
      </w:divBdr>
    </w:div>
    <w:div w:id="2025667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340</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jaruiz</dc:creator>
  <cp:lastModifiedBy>Teresa de Jesús Rubio Solís</cp:lastModifiedBy>
  <cp:revision>3</cp:revision>
  <cp:lastPrinted>2017-03-15T15:54:00Z</cp:lastPrinted>
  <dcterms:created xsi:type="dcterms:W3CDTF">2017-07-25T16:19:00Z</dcterms:created>
  <dcterms:modified xsi:type="dcterms:W3CDTF">2017-07-28T17:23:00Z</dcterms:modified>
</cp:coreProperties>
</file>