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46A" w:rsidRPr="00495065" w:rsidRDefault="0092046A" w:rsidP="00495065">
      <w:pPr>
        <w:pStyle w:val="Textoindependiente"/>
        <w:shd w:val="clear" w:color="auto" w:fill="FFFFFF"/>
        <w:spacing w:after="0"/>
        <w:jc w:val="both"/>
        <w:rPr>
          <w:rFonts w:ascii="Montserrat" w:hAnsi="Montserrat" w:cs="Arial"/>
          <w:szCs w:val="22"/>
        </w:rPr>
      </w:pPr>
      <w:bookmarkStart w:id="0" w:name="_GoBack"/>
      <w:bookmarkEnd w:id="0"/>
      <w:r w:rsidRPr="00495065">
        <w:rPr>
          <w:rFonts w:ascii="Montserrat" w:hAnsi="Montserrat" w:cs="Arial"/>
          <w:b/>
          <w:smallCaps/>
          <w:szCs w:val="22"/>
        </w:rPr>
        <w:t>La póliza de fianza deberá contener, además de las cláusulas que la Ley de</w:t>
      </w:r>
      <w:r w:rsidR="00495065">
        <w:rPr>
          <w:rFonts w:ascii="Montserrat" w:hAnsi="Montserrat" w:cs="Arial"/>
          <w:b/>
          <w:smallCaps/>
          <w:szCs w:val="22"/>
        </w:rPr>
        <w:t xml:space="preserve"> </w:t>
      </w:r>
      <w:r w:rsidRPr="00495065">
        <w:rPr>
          <w:rFonts w:ascii="Montserrat" w:hAnsi="Montserrat" w:cs="Arial"/>
          <w:b/>
          <w:smallCaps/>
          <w:szCs w:val="22"/>
        </w:rPr>
        <w:t>Instituciones de Seguros y de Fianzas establezca, lo siguiente</w:t>
      </w:r>
      <w:r w:rsidRPr="00495065">
        <w:rPr>
          <w:rFonts w:ascii="Montserrat" w:hAnsi="Montserrat" w:cs="Arial"/>
          <w:b/>
          <w:szCs w:val="22"/>
        </w:rPr>
        <w:t>:</w:t>
      </w:r>
    </w:p>
    <w:p w:rsidR="0092046A" w:rsidRPr="00495065" w:rsidRDefault="0092046A" w:rsidP="00495065">
      <w:pPr>
        <w:shd w:val="clear" w:color="auto" w:fill="FFFFFF"/>
        <w:rPr>
          <w:rFonts w:ascii="Montserrat" w:hAnsi="Montserrat" w:cs="Arial"/>
          <w:szCs w:val="22"/>
        </w:rPr>
      </w:pPr>
    </w:p>
    <w:p w:rsidR="0092046A" w:rsidRPr="00495065" w:rsidRDefault="0092046A" w:rsidP="0092046A">
      <w:pPr>
        <w:shd w:val="clear" w:color="auto" w:fill="FFFFFF"/>
        <w:jc w:val="both"/>
        <w:rPr>
          <w:rFonts w:ascii="Montserrat" w:hAnsi="Montserrat" w:cs="Arial"/>
          <w:szCs w:val="22"/>
        </w:rPr>
      </w:pPr>
      <w:r w:rsidRPr="00495065">
        <w:rPr>
          <w:rFonts w:ascii="Montserrat" w:hAnsi="Montserrat" w:cs="Arial"/>
          <w:szCs w:val="22"/>
        </w:rPr>
        <w:t>Fecha de Emisión: ____________</w:t>
      </w:r>
    </w:p>
    <w:p w:rsidR="0092046A" w:rsidRPr="00495065" w:rsidRDefault="0092046A" w:rsidP="0092046A">
      <w:pPr>
        <w:shd w:val="clear" w:color="auto" w:fill="FFFFFF"/>
        <w:jc w:val="both"/>
        <w:rPr>
          <w:rFonts w:ascii="Montserrat" w:hAnsi="Montserrat" w:cs="Arial"/>
          <w:szCs w:val="22"/>
        </w:rPr>
      </w:pPr>
      <w:r w:rsidRPr="00495065">
        <w:rPr>
          <w:rFonts w:ascii="Montserrat" w:hAnsi="Montserrat" w:cs="Arial"/>
          <w:szCs w:val="22"/>
        </w:rPr>
        <w:t>Monto de la Fianza: $ __________ (Importe con letra)</w:t>
      </w:r>
    </w:p>
    <w:p w:rsidR="0092046A" w:rsidRPr="00495065" w:rsidRDefault="0092046A" w:rsidP="0092046A">
      <w:pPr>
        <w:shd w:val="clear" w:color="auto" w:fill="FFFFFF"/>
        <w:jc w:val="both"/>
        <w:rPr>
          <w:rFonts w:ascii="Montserrat" w:hAnsi="Montserrat" w:cs="Arial"/>
          <w:szCs w:val="22"/>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la afianzadora ________________ (nombre de la afianzadora), con domicilio en _________________, en ejercicio de la autorización que le otorgó el gobierno federal, por conducto de la Comisión Nacional de Seguros y Fianzas, en los términos de los artículos 11, 12, 36 y 47 de la Ley de Instituciones de Seguros y de Fianzas, se constituye fiadora por la suma de $________ (____________ pesos ____/100 m.n.), sin considerar el impuesto al valor agregado (I.V.A.).</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 xml:space="preserve">Que la presente fianza se otorga a favor del Instituto de Seguridad y Servicios Sociales de los Trabajadores del Estado en adelante “EL INSTITUTO”, con registro federal de contribuyentes </w:t>
      </w:r>
      <w:r w:rsidRPr="00495065">
        <w:rPr>
          <w:rFonts w:ascii="Montserrat" w:hAnsi="Montserrat" w:cs="Arial"/>
          <w:b/>
          <w:szCs w:val="22"/>
          <w:lang w:eastAsia="es-MX"/>
        </w:rPr>
        <w:t>ISS-600101-5A3</w:t>
      </w:r>
      <w:r w:rsidRPr="00495065">
        <w:rPr>
          <w:rFonts w:ascii="Montserrat" w:hAnsi="Montserrat" w:cs="Arial"/>
          <w:szCs w:val="22"/>
          <w:lang w:eastAsia="es-MX"/>
        </w:rPr>
        <w:t xml:space="preserve"> y con domicilio fiscal en </w:t>
      </w:r>
      <w:r w:rsidRPr="00495065">
        <w:rPr>
          <w:rFonts w:ascii="Montserrat" w:hAnsi="Montserrat" w:cs="Arial"/>
          <w:b/>
          <w:szCs w:val="22"/>
          <w:lang w:eastAsia="es-MX"/>
        </w:rPr>
        <w:t xml:space="preserve">Río </w:t>
      </w:r>
      <w:proofErr w:type="spellStart"/>
      <w:r w:rsidRPr="00495065">
        <w:rPr>
          <w:rFonts w:ascii="Montserrat" w:hAnsi="Montserrat" w:cs="Arial"/>
          <w:b/>
          <w:szCs w:val="22"/>
          <w:lang w:eastAsia="es-MX"/>
        </w:rPr>
        <w:t>Rhín</w:t>
      </w:r>
      <w:proofErr w:type="spellEnd"/>
      <w:r w:rsidRPr="00495065">
        <w:rPr>
          <w:rFonts w:ascii="Montserrat" w:hAnsi="Montserrat" w:cs="Arial"/>
          <w:b/>
          <w:szCs w:val="22"/>
          <w:lang w:eastAsia="es-MX"/>
        </w:rPr>
        <w:t xml:space="preserve"> No. 3, piso 10, Colonia Cuauhtémoc, Alcaldía Cuauhtémoc, C.P. 06500, Ciudad de México</w:t>
      </w:r>
      <w:r w:rsidRPr="00495065">
        <w:rPr>
          <w:rFonts w:ascii="Montserrat" w:hAnsi="Montserrat" w:cs="Arial"/>
          <w:szCs w:val="22"/>
          <w:lang w:eastAsia="es-MX"/>
        </w:rPr>
        <w:t xml:space="preserve">, para garantizar por __________ (nombre o denominación social de la empresa o de la persona física proveedora), en adelante “EL PROVEEDOR”, con registro federal de contribuyentes ________ y con domicilio en __________ (domicilio de la empresa o persona física proveedora), el cumplimiento de todas y cada una de las obligaciones contenidas en el contrato número _______ de fecha __ de _____ </w:t>
      </w:r>
      <w:proofErr w:type="spellStart"/>
      <w:r w:rsidRPr="00495065">
        <w:rPr>
          <w:rFonts w:ascii="Montserrat" w:hAnsi="Montserrat" w:cs="Arial"/>
          <w:szCs w:val="22"/>
          <w:lang w:eastAsia="es-MX"/>
        </w:rPr>
        <w:t>de</w:t>
      </w:r>
      <w:proofErr w:type="spellEnd"/>
      <w:r w:rsidRPr="00495065">
        <w:rPr>
          <w:rFonts w:ascii="Montserrat" w:hAnsi="Montserrat" w:cs="Arial"/>
          <w:szCs w:val="22"/>
          <w:lang w:eastAsia="es-MX"/>
        </w:rPr>
        <w:t xml:space="preserve"> _____, derivado del procedimiento de __________ (indicar tipo de procedimiento de adjudicación), celebrado con “EL INSTITUTO”, relativo a la adquisición o suministro de _____________ (según tipo de servicios, bienes, medicamentos, material de curación, etc.), por un importe de $__________ (indicar monto total del contrato en número y letra sin considerar el I.V.A.).</w:t>
      </w:r>
    </w:p>
    <w:p w:rsidR="0092046A" w:rsidRPr="00495065" w:rsidRDefault="0092046A" w:rsidP="0092046A">
      <w:pPr>
        <w:jc w:val="both"/>
        <w:rPr>
          <w:rFonts w:ascii="Montserrat" w:hAnsi="Montserrat" w:cs="Arial"/>
          <w:szCs w:val="22"/>
          <w:lang w:eastAsia="es-MX"/>
        </w:rPr>
      </w:pPr>
    </w:p>
    <w:p w:rsidR="0092046A" w:rsidRPr="00495065" w:rsidRDefault="0092046A" w:rsidP="0092046A">
      <w:pPr>
        <w:jc w:val="both"/>
        <w:rPr>
          <w:rFonts w:ascii="Montserrat" w:hAnsi="Montserrat" w:cs="Arial"/>
          <w:szCs w:val="22"/>
          <w:lang w:eastAsia="es-MX"/>
        </w:rPr>
      </w:pPr>
      <w:r w:rsidRPr="00495065">
        <w:rPr>
          <w:rFonts w:ascii="Montserrat" w:hAnsi="Montserrat" w:cs="Arial"/>
          <w:szCs w:val="22"/>
          <w:lang w:eastAsia="es-MX"/>
        </w:rPr>
        <w:t>La afianzadora ______________ (nombre de la afianzadora), acepta expresamente:</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la fianza se otorga para garantizar todas y cada una de las obligaciones contractuales derivadas del contrato _________ (número y fecha de formalización), el cual se derivó del procedimiento de _________ (indicar tipo de procedimiento de adjudicación).</w:t>
      </w:r>
    </w:p>
    <w:p w:rsidR="0092046A" w:rsidRPr="00495065" w:rsidRDefault="0092046A" w:rsidP="0092046A">
      <w:pPr>
        <w:jc w:val="both"/>
        <w:rPr>
          <w:rFonts w:ascii="Montserrat" w:hAnsi="Montserrat" w:cs="Arial"/>
          <w:vanish/>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a elección de “EL INSTITUTO”, podrá reclamarse el pago de la fianza por cualquiera de los procedimientos establecidos en los artículos 279 y 280 de la Ley de Instituciones de Seguros y de Fianzas, o bien, a través del artículo 63 de la Ley de Protección y Defensa de los Usuarios de los Servicios Financieros, aún para el caso de que proceda el cobro de indemnización por mora, con motivo del pago extemporáneo del importe de la póliza de fianza requerida, conforme a lo dispuesto en el artículo 283 de la Ley de Instituciones de Seguros y de Fianzas.</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otorga su consentimiento en lo referente al artículo 179 de la Ley de Instituciones de Seguros y de Fianzas, para que la fianza continúe vigente aun cuando se otorguen prórrogas o esperas a “el proveedor” para el cumplimiento de las obligaciones que se afianzan.</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lastRenderedPageBreak/>
        <w:t>Que la fianza permanecerá vigente durante el cumplimiento de la obligación que garantice, así como durante la substanciación de todos los recursos legales o juicios que se interpongan y hasta que se dicte resolución definitiva por autoridad competente.</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para cancelar o liberar la fianza, se requerirá en todo caso la conformidad previa, expresa y por escrito de “EL INSTITUTO”, a través del área contratante.</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para cancelar o liberar la fianza será requisito contar con la constancia de cumplimiento total de las obligaciones contractuales y cuando al realizarse el finiquito resulten saldo a cargo del proveedor y éste efectúe la totalidad del pago en forma incondicional.</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 xml:space="preserve">Que la vigencia </w:t>
      </w:r>
      <w:r w:rsidRPr="00495065">
        <w:rPr>
          <w:rFonts w:ascii="Montserrat" w:hAnsi="Montserrat" w:cs="Arial"/>
          <w:szCs w:val="22"/>
        </w:rPr>
        <w:t>de la fianza será de dos años contados a partir del día siguiente del incumplimiento de “EL PROVEEDOR”, por lo que “EL INSTITUTO”, cuenta con el mismo plazo de dos años, para reclamar el pago a la afianzadora a partir del día siguiente de la notificación de la rescisión al contrato, de no presentarse la reclamación dentro de este último plazo, operará la caducidad de la misma</w:t>
      </w:r>
      <w:r w:rsidRPr="00495065">
        <w:rPr>
          <w:rFonts w:ascii="Montserrat" w:hAnsi="Montserrat" w:cs="Arial"/>
          <w:szCs w:val="22"/>
          <w:lang w:eastAsia="es-MX"/>
        </w:rPr>
        <w:t>.</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La fianza se hará efectiva por el monto de la obligación garantizada. Salvo que, por la naturaleza del bien o servicios, en el contrato se haya estipulado la divisibilidad de la referida obligación.</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no gozará de los beneficios de orden y excusión.</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la fianza no se extinguirá aun cuando “EL PROVEEDOR” subcontrate parcialmente.</w:t>
      </w:r>
    </w:p>
    <w:p w:rsidR="0092046A" w:rsidRPr="00495065" w:rsidRDefault="0092046A" w:rsidP="0092046A">
      <w:pPr>
        <w:jc w:val="both"/>
        <w:rPr>
          <w:rFonts w:ascii="Montserrat" w:hAnsi="Montserrat" w:cs="Arial"/>
          <w:szCs w:val="22"/>
          <w:lang w:eastAsia="es-MX"/>
        </w:rPr>
      </w:pPr>
    </w:p>
    <w:p w:rsidR="0092046A" w:rsidRPr="00495065" w:rsidRDefault="0092046A" w:rsidP="0092046A">
      <w:pPr>
        <w:pStyle w:val="Prrafodelista"/>
        <w:widowControl/>
        <w:numPr>
          <w:ilvl w:val="0"/>
          <w:numId w:val="5"/>
        </w:numPr>
        <w:overflowPunct/>
        <w:autoSpaceDE/>
        <w:autoSpaceDN/>
        <w:adjustRightInd/>
        <w:ind w:left="357" w:hanging="357"/>
        <w:contextualSpacing/>
        <w:jc w:val="both"/>
        <w:textAlignment w:val="auto"/>
        <w:rPr>
          <w:rFonts w:ascii="Montserrat" w:hAnsi="Montserrat" w:cs="Arial"/>
          <w:szCs w:val="22"/>
          <w:lang w:eastAsia="es-MX"/>
        </w:rPr>
      </w:pPr>
      <w:r w:rsidRPr="00495065">
        <w:rPr>
          <w:rFonts w:ascii="Montserrat" w:hAnsi="Montserrat" w:cs="Arial"/>
          <w:szCs w:val="22"/>
          <w:lang w:eastAsia="es-MX"/>
        </w:rPr>
        <w:t>Que garantiza defectos y vicios ocultos de los bienes y la calidad de los servicios (según sea el caso), derivados del citado contrato.</w:t>
      </w:r>
    </w:p>
    <w:p w:rsidR="0092046A" w:rsidRPr="00495065" w:rsidRDefault="0092046A" w:rsidP="0092046A">
      <w:pPr>
        <w:jc w:val="both"/>
        <w:rPr>
          <w:rFonts w:ascii="Montserrat" w:hAnsi="Montserrat" w:cs="Arial"/>
          <w:szCs w:val="22"/>
          <w:lang w:eastAsia="es-MX"/>
        </w:rPr>
      </w:pPr>
    </w:p>
    <w:p w:rsidR="0092046A" w:rsidRPr="00495065" w:rsidRDefault="0092046A" w:rsidP="0092046A">
      <w:pPr>
        <w:jc w:val="both"/>
        <w:rPr>
          <w:rFonts w:ascii="Montserrat" w:hAnsi="Montserrat" w:cs="Arial"/>
          <w:szCs w:val="22"/>
          <w:lang w:eastAsia="es-MX"/>
        </w:rPr>
      </w:pPr>
      <w:r w:rsidRPr="00495065">
        <w:rPr>
          <w:rFonts w:ascii="Montserrat" w:hAnsi="Montserrat" w:cs="Arial"/>
          <w:szCs w:val="22"/>
          <w:lang w:eastAsia="es-MX"/>
        </w:rPr>
        <w:t>Las modificaciones a las fianzas deberán formalizarse con la participación que corresponda a la afianzadora, en términos de las disposiciones aplicables.</w:t>
      </w:r>
    </w:p>
    <w:p w:rsidR="0092046A" w:rsidRPr="00495065" w:rsidRDefault="0092046A" w:rsidP="0092046A">
      <w:pPr>
        <w:jc w:val="both"/>
        <w:rPr>
          <w:rFonts w:ascii="Montserrat" w:hAnsi="Montserrat" w:cs="Arial"/>
          <w:szCs w:val="22"/>
          <w:lang w:eastAsia="es-MX"/>
        </w:rPr>
      </w:pPr>
    </w:p>
    <w:p w:rsidR="0092046A" w:rsidRPr="00495065" w:rsidRDefault="0092046A" w:rsidP="0092046A">
      <w:pPr>
        <w:jc w:val="both"/>
        <w:rPr>
          <w:rFonts w:ascii="Montserrat" w:hAnsi="Montserrat" w:cs="Arial"/>
          <w:szCs w:val="22"/>
          <w:lang w:eastAsia="es-MX"/>
        </w:rPr>
      </w:pPr>
      <w:r w:rsidRPr="00495065">
        <w:rPr>
          <w:rFonts w:ascii="Montserrat" w:hAnsi="Montserrat" w:cs="Arial"/>
          <w:szCs w:val="22"/>
          <w:lang w:eastAsia="es-MX"/>
        </w:rPr>
        <w:t>Se hará efectiva la garantía relativa al cumplimiento del contrato, cuando "el proveedor" incumpla cualquiera de sus obligaciones contractuales por causas a él imputables.</w:t>
      </w:r>
    </w:p>
    <w:p w:rsidR="00303125" w:rsidRDefault="00303125"/>
    <w:p w:rsidR="0092046A" w:rsidRPr="0092046A" w:rsidRDefault="0092046A">
      <w:pPr>
        <w:rPr>
          <w:lang w:val="es-MX"/>
        </w:rPr>
      </w:pPr>
    </w:p>
    <w:sectPr w:rsidR="0092046A" w:rsidRPr="0092046A" w:rsidSect="00495065">
      <w:headerReference w:type="default" r:id="rId7"/>
      <w:headerReference w:type="first" r:id="rId8"/>
      <w:pgSz w:w="12240" w:h="15840"/>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063" w:rsidRDefault="00604063" w:rsidP="00AC4D8E">
      <w:r>
        <w:separator/>
      </w:r>
    </w:p>
  </w:endnote>
  <w:endnote w:type="continuationSeparator" w:id="0">
    <w:p w:rsidR="00604063" w:rsidRDefault="00604063" w:rsidP="00AC4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altName w:val="﷽﷽﷽﷽﷽﷽﷽﷽"/>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063" w:rsidRDefault="00604063" w:rsidP="00AC4D8E">
      <w:r>
        <w:separator/>
      </w:r>
    </w:p>
  </w:footnote>
  <w:footnote w:type="continuationSeparator" w:id="0">
    <w:p w:rsidR="00604063" w:rsidRDefault="00604063" w:rsidP="00AC4D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5FB" w:rsidRDefault="003975FB">
    <w:pPr>
      <w:pStyle w:val="Encabezado"/>
    </w:pPr>
    <w:r>
      <w:rPr>
        <w:noProof/>
        <w:lang w:val="es-MX" w:eastAsia="es-MX"/>
      </w:rPr>
      <w:drawing>
        <wp:anchor distT="0" distB="0" distL="114300" distR="114300" simplePos="0" relativeHeight="251661312" behindDoc="1" locked="0" layoutInCell="1" allowOverlap="1" wp14:anchorId="4B841EFB" wp14:editId="26A564BE">
          <wp:simplePos x="0" y="0"/>
          <wp:positionH relativeFrom="page">
            <wp:align>right</wp:align>
          </wp:positionH>
          <wp:positionV relativeFrom="paragraph">
            <wp:posOffset>-250190</wp:posOffset>
          </wp:positionV>
          <wp:extent cx="7771130" cy="10134600"/>
          <wp:effectExtent l="0" t="0" r="127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clrChange>
                      <a:clrFrom>
                        <a:srgbClr val="374F43"/>
                      </a:clrFrom>
                      <a:clrTo>
                        <a:srgbClr val="374F43">
                          <a:alpha val="0"/>
                        </a:srgbClr>
                      </a:clrTo>
                    </a:clrChange>
                    <a:extLst>
                      <a:ext uri="{28A0092B-C50C-407E-A947-70E740481C1C}">
                        <a14:useLocalDpi xmlns:a14="http://schemas.microsoft.com/office/drawing/2010/main" val="0"/>
                      </a:ext>
                    </a:extLst>
                  </a:blip>
                  <a:stretch>
                    <a:fillRect/>
                  </a:stretch>
                </pic:blipFill>
                <pic:spPr>
                  <a:xfrm>
                    <a:off x="0" y="0"/>
                    <a:ext cx="7771130" cy="10134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5FB" w:rsidRDefault="003975FB">
    <w:pPr>
      <w:pStyle w:val="Encabezado"/>
    </w:pPr>
    <w:r>
      <w:rPr>
        <w:noProof/>
        <w:lang w:val="es-MX" w:eastAsia="es-MX"/>
      </w:rPr>
      <w:drawing>
        <wp:anchor distT="0" distB="0" distL="114300" distR="114300" simplePos="0" relativeHeight="251659264" behindDoc="1" locked="0" layoutInCell="1" allowOverlap="1" wp14:anchorId="3ACC8D50" wp14:editId="54560DF4">
          <wp:simplePos x="0" y="0"/>
          <wp:positionH relativeFrom="page">
            <wp:align>right</wp:align>
          </wp:positionH>
          <wp:positionV relativeFrom="paragraph">
            <wp:posOffset>-247650</wp:posOffset>
          </wp:positionV>
          <wp:extent cx="7771130" cy="10134600"/>
          <wp:effectExtent l="0" t="0" r="127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clrChange>
                      <a:clrFrom>
                        <a:srgbClr val="374F43"/>
                      </a:clrFrom>
                      <a:clrTo>
                        <a:srgbClr val="374F43">
                          <a:alpha val="0"/>
                        </a:srgbClr>
                      </a:clrTo>
                    </a:clrChange>
                    <a:extLst>
                      <a:ext uri="{28A0092B-C50C-407E-A947-70E740481C1C}">
                        <a14:useLocalDpi xmlns:a14="http://schemas.microsoft.com/office/drawing/2010/main" val="0"/>
                      </a:ext>
                    </a:extLst>
                  </a:blip>
                  <a:stretch>
                    <a:fillRect/>
                  </a:stretch>
                </pic:blipFill>
                <pic:spPr>
                  <a:xfrm>
                    <a:off x="0" y="0"/>
                    <a:ext cx="7771130" cy="10134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62971"/>
    <w:multiLevelType w:val="hybridMultilevel"/>
    <w:tmpl w:val="F92A5DD0"/>
    <w:lvl w:ilvl="0" w:tplc="080A0003">
      <w:start w:val="1"/>
      <w:numFmt w:val="bullet"/>
      <w:lvlText w:val="o"/>
      <w:lvlJc w:val="left"/>
      <w:pPr>
        <w:tabs>
          <w:tab w:val="num" w:pos="2140"/>
        </w:tabs>
        <w:ind w:left="2140" w:hanging="360"/>
      </w:pPr>
      <w:rPr>
        <w:rFonts w:ascii="Courier New" w:hAnsi="Courier New" w:cs="Courier New" w:hint="default"/>
      </w:rPr>
    </w:lvl>
    <w:lvl w:ilvl="1" w:tplc="080A0003" w:tentative="1">
      <w:start w:val="1"/>
      <w:numFmt w:val="bullet"/>
      <w:lvlText w:val="o"/>
      <w:lvlJc w:val="left"/>
      <w:pPr>
        <w:tabs>
          <w:tab w:val="num" w:pos="2860"/>
        </w:tabs>
        <w:ind w:left="2860" w:hanging="360"/>
      </w:pPr>
      <w:rPr>
        <w:rFonts w:ascii="Courier New" w:hAnsi="Courier New" w:cs="Courier New" w:hint="default"/>
      </w:rPr>
    </w:lvl>
    <w:lvl w:ilvl="2" w:tplc="080A0005" w:tentative="1">
      <w:start w:val="1"/>
      <w:numFmt w:val="bullet"/>
      <w:lvlText w:val=""/>
      <w:lvlJc w:val="left"/>
      <w:pPr>
        <w:tabs>
          <w:tab w:val="num" w:pos="3580"/>
        </w:tabs>
        <w:ind w:left="3580" w:hanging="360"/>
      </w:pPr>
      <w:rPr>
        <w:rFonts w:ascii="Wingdings" w:hAnsi="Wingdings" w:hint="default"/>
      </w:rPr>
    </w:lvl>
    <w:lvl w:ilvl="3" w:tplc="080A0001" w:tentative="1">
      <w:start w:val="1"/>
      <w:numFmt w:val="bullet"/>
      <w:lvlText w:val=""/>
      <w:lvlJc w:val="left"/>
      <w:pPr>
        <w:tabs>
          <w:tab w:val="num" w:pos="4300"/>
        </w:tabs>
        <w:ind w:left="4300" w:hanging="360"/>
      </w:pPr>
      <w:rPr>
        <w:rFonts w:ascii="Symbol" w:hAnsi="Symbol" w:hint="default"/>
      </w:rPr>
    </w:lvl>
    <w:lvl w:ilvl="4" w:tplc="080A0003" w:tentative="1">
      <w:start w:val="1"/>
      <w:numFmt w:val="bullet"/>
      <w:lvlText w:val="o"/>
      <w:lvlJc w:val="left"/>
      <w:pPr>
        <w:tabs>
          <w:tab w:val="num" w:pos="5020"/>
        </w:tabs>
        <w:ind w:left="5020" w:hanging="360"/>
      </w:pPr>
      <w:rPr>
        <w:rFonts w:ascii="Courier New" w:hAnsi="Courier New" w:cs="Courier New" w:hint="default"/>
      </w:rPr>
    </w:lvl>
    <w:lvl w:ilvl="5" w:tplc="080A0005" w:tentative="1">
      <w:start w:val="1"/>
      <w:numFmt w:val="bullet"/>
      <w:lvlText w:val=""/>
      <w:lvlJc w:val="left"/>
      <w:pPr>
        <w:tabs>
          <w:tab w:val="num" w:pos="5740"/>
        </w:tabs>
        <w:ind w:left="5740" w:hanging="360"/>
      </w:pPr>
      <w:rPr>
        <w:rFonts w:ascii="Wingdings" w:hAnsi="Wingdings" w:hint="default"/>
      </w:rPr>
    </w:lvl>
    <w:lvl w:ilvl="6" w:tplc="080A0001" w:tentative="1">
      <w:start w:val="1"/>
      <w:numFmt w:val="bullet"/>
      <w:lvlText w:val=""/>
      <w:lvlJc w:val="left"/>
      <w:pPr>
        <w:tabs>
          <w:tab w:val="num" w:pos="6460"/>
        </w:tabs>
        <w:ind w:left="6460" w:hanging="360"/>
      </w:pPr>
      <w:rPr>
        <w:rFonts w:ascii="Symbol" w:hAnsi="Symbol" w:hint="default"/>
      </w:rPr>
    </w:lvl>
    <w:lvl w:ilvl="7" w:tplc="080A0003" w:tentative="1">
      <w:start w:val="1"/>
      <w:numFmt w:val="bullet"/>
      <w:lvlText w:val="o"/>
      <w:lvlJc w:val="left"/>
      <w:pPr>
        <w:tabs>
          <w:tab w:val="num" w:pos="7180"/>
        </w:tabs>
        <w:ind w:left="7180" w:hanging="360"/>
      </w:pPr>
      <w:rPr>
        <w:rFonts w:ascii="Courier New" w:hAnsi="Courier New" w:cs="Courier New" w:hint="default"/>
      </w:rPr>
    </w:lvl>
    <w:lvl w:ilvl="8" w:tplc="080A0005" w:tentative="1">
      <w:start w:val="1"/>
      <w:numFmt w:val="bullet"/>
      <w:lvlText w:val=""/>
      <w:lvlJc w:val="left"/>
      <w:pPr>
        <w:tabs>
          <w:tab w:val="num" w:pos="7900"/>
        </w:tabs>
        <w:ind w:left="7900" w:hanging="360"/>
      </w:pPr>
      <w:rPr>
        <w:rFonts w:ascii="Wingdings" w:hAnsi="Wingdings" w:hint="default"/>
      </w:rPr>
    </w:lvl>
  </w:abstractNum>
  <w:abstractNum w:abstractNumId="1" w15:restartNumberingAfterBreak="0">
    <w:nsid w:val="1E195405"/>
    <w:multiLevelType w:val="hybridMultilevel"/>
    <w:tmpl w:val="1222ECA4"/>
    <w:lvl w:ilvl="0" w:tplc="080A0019">
      <w:start w:val="1"/>
      <w:numFmt w:val="lowerLetter"/>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 w15:restartNumberingAfterBreak="0">
    <w:nsid w:val="4846765A"/>
    <w:multiLevelType w:val="hybridMultilevel"/>
    <w:tmpl w:val="73224D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C4C1D4D"/>
    <w:multiLevelType w:val="hybridMultilevel"/>
    <w:tmpl w:val="B694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91E7100"/>
    <w:multiLevelType w:val="hybridMultilevel"/>
    <w:tmpl w:val="94C0341E"/>
    <w:lvl w:ilvl="0" w:tplc="080A0015">
      <w:start w:val="1"/>
      <w:numFmt w:val="upp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46A"/>
    <w:rsid w:val="002A5B71"/>
    <w:rsid w:val="00303125"/>
    <w:rsid w:val="00356595"/>
    <w:rsid w:val="003975FB"/>
    <w:rsid w:val="00495065"/>
    <w:rsid w:val="005C3BC3"/>
    <w:rsid w:val="00604063"/>
    <w:rsid w:val="0075209F"/>
    <w:rsid w:val="0089580E"/>
    <w:rsid w:val="0092046A"/>
    <w:rsid w:val="00AC4D8E"/>
    <w:rsid w:val="00BD273A"/>
    <w:rsid w:val="00C91ED7"/>
    <w:rsid w:val="00E377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733A90-8B17-4A5E-A002-E609700E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46A"/>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2046A"/>
    <w:pPr>
      <w:spacing w:after="120"/>
    </w:pPr>
  </w:style>
  <w:style w:type="character" w:customStyle="1" w:styleId="TextoindependienteCar">
    <w:name w:val="Texto independiente Car"/>
    <w:basedOn w:val="Fuentedeprrafopredeter"/>
    <w:link w:val="Textoindependiente"/>
    <w:rsid w:val="0092046A"/>
    <w:rPr>
      <w:rFonts w:ascii="Times New Roman" w:eastAsia="Times New Roman" w:hAnsi="Times New Roman" w:cs="Times New Roman"/>
      <w:sz w:val="20"/>
      <w:szCs w:val="20"/>
      <w:lang w:val="es-ES" w:eastAsia="es-ES"/>
    </w:rPr>
  </w:style>
  <w:style w:type="paragraph" w:styleId="Prrafodelista">
    <w:name w:val="List Paragraph"/>
    <w:aliases w:val="lp1,Lista vistosa - Énfasis 11,List Paragraph,List Paragraph11,Bullet List,FooterText,numbered,Paragraphe de liste1,Bulletr List Paragraph,列出段落,列出段落1,Scitum normal,Listas,Colorful List - Accent 11,TítuloB,4 Párrafo de lista,Figuras,b1"/>
    <w:basedOn w:val="Normal"/>
    <w:link w:val="PrrafodelistaCar"/>
    <w:uiPriority w:val="34"/>
    <w:qFormat/>
    <w:rsid w:val="0092046A"/>
    <w:pPr>
      <w:ind w:left="708"/>
    </w:pPr>
  </w:style>
  <w:style w:type="character" w:customStyle="1" w:styleId="PrrafodelistaCar">
    <w:name w:val="Párrafo de lista Car"/>
    <w:aliases w:val="lp1 Car,Lista vistosa - Énfasis 11 Car,List Paragraph Car,List Paragraph11 Car,Bullet List Car,FooterText Car,numbered Car,Paragraphe de liste1 Car,Bulletr List Paragraph Car,列出段落 Car,列出段落1 Car,Scitum normal Car,Listas Car,b1 Car"/>
    <w:link w:val="Prrafodelista"/>
    <w:uiPriority w:val="34"/>
    <w:qFormat/>
    <w:rsid w:val="0092046A"/>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92046A"/>
    <w:rPr>
      <w:color w:val="0563C1"/>
      <w:u w:val="single"/>
    </w:rPr>
  </w:style>
  <w:style w:type="paragraph" w:styleId="Encabezado">
    <w:name w:val="header"/>
    <w:basedOn w:val="Normal"/>
    <w:link w:val="EncabezadoCar"/>
    <w:uiPriority w:val="99"/>
    <w:unhideWhenUsed/>
    <w:rsid w:val="00AC4D8E"/>
    <w:pPr>
      <w:tabs>
        <w:tab w:val="center" w:pos="4419"/>
        <w:tab w:val="right" w:pos="8838"/>
      </w:tabs>
    </w:pPr>
  </w:style>
  <w:style w:type="character" w:customStyle="1" w:styleId="EncabezadoCar">
    <w:name w:val="Encabezado Car"/>
    <w:basedOn w:val="Fuentedeprrafopredeter"/>
    <w:link w:val="Encabezado"/>
    <w:uiPriority w:val="99"/>
    <w:rsid w:val="00AC4D8E"/>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AC4D8E"/>
    <w:pPr>
      <w:tabs>
        <w:tab w:val="center" w:pos="4419"/>
        <w:tab w:val="right" w:pos="8838"/>
      </w:tabs>
    </w:pPr>
  </w:style>
  <w:style w:type="character" w:customStyle="1" w:styleId="PiedepginaCar">
    <w:name w:val="Pie de página Car"/>
    <w:basedOn w:val="Fuentedeprrafopredeter"/>
    <w:link w:val="Piedepgina"/>
    <w:uiPriority w:val="99"/>
    <w:rsid w:val="00AC4D8E"/>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07499">
      <w:bodyDiv w:val="1"/>
      <w:marLeft w:val="0"/>
      <w:marRight w:val="0"/>
      <w:marTop w:val="0"/>
      <w:marBottom w:val="0"/>
      <w:divBdr>
        <w:top w:val="none" w:sz="0" w:space="0" w:color="auto"/>
        <w:left w:val="none" w:sz="0" w:space="0" w:color="auto"/>
        <w:bottom w:val="none" w:sz="0" w:space="0" w:color="auto"/>
        <w:right w:val="none" w:sz="0" w:space="0" w:color="auto"/>
      </w:divBdr>
    </w:div>
    <w:div w:id="441270571">
      <w:bodyDiv w:val="1"/>
      <w:marLeft w:val="0"/>
      <w:marRight w:val="0"/>
      <w:marTop w:val="0"/>
      <w:marBottom w:val="0"/>
      <w:divBdr>
        <w:top w:val="none" w:sz="0" w:space="0" w:color="auto"/>
        <w:left w:val="none" w:sz="0" w:space="0" w:color="auto"/>
        <w:bottom w:val="none" w:sz="0" w:space="0" w:color="auto"/>
        <w:right w:val="none" w:sz="0" w:space="0" w:color="auto"/>
      </w:divBdr>
    </w:div>
    <w:div w:id="491919508">
      <w:bodyDiv w:val="1"/>
      <w:marLeft w:val="0"/>
      <w:marRight w:val="0"/>
      <w:marTop w:val="0"/>
      <w:marBottom w:val="0"/>
      <w:divBdr>
        <w:top w:val="none" w:sz="0" w:space="0" w:color="auto"/>
        <w:left w:val="none" w:sz="0" w:space="0" w:color="auto"/>
        <w:bottom w:val="none" w:sz="0" w:space="0" w:color="auto"/>
        <w:right w:val="none" w:sz="0" w:space="0" w:color="auto"/>
      </w:divBdr>
    </w:div>
    <w:div w:id="535042789">
      <w:bodyDiv w:val="1"/>
      <w:marLeft w:val="0"/>
      <w:marRight w:val="0"/>
      <w:marTop w:val="0"/>
      <w:marBottom w:val="0"/>
      <w:divBdr>
        <w:top w:val="none" w:sz="0" w:space="0" w:color="auto"/>
        <w:left w:val="none" w:sz="0" w:space="0" w:color="auto"/>
        <w:bottom w:val="none" w:sz="0" w:space="0" w:color="auto"/>
        <w:right w:val="none" w:sz="0" w:space="0" w:color="auto"/>
      </w:divBdr>
    </w:div>
    <w:div w:id="933630920">
      <w:bodyDiv w:val="1"/>
      <w:marLeft w:val="0"/>
      <w:marRight w:val="0"/>
      <w:marTop w:val="0"/>
      <w:marBottom w:val="0"/>
      <w:divBdr>
        <w:top w:val="none" w:sz="0" w:space="0" w:color="auto"/>
        <w:left w:val="none" w:sz="0" w:space="0" w:color="auto"/>
        <w:bottom w:val="none" w:sz="0" w:space="0" w:color="auto"/>
        <w:right w:val="none" w:sz="0" w:space="0" w:color="auto"/>
      </w:divBdr>
    </w:div>
    <w:div w:id="950212280">
      <w:bodyDiv w:val="1"/>
      <w:marLeft w:val="0"/>
      <w:marRight w:val="0"/>
      <w:marTop w:val="0"/>
      <w:marBottom w:val="0"/>
      <w:divBdr>
        <w:top w:val="none" w:sz="0" w:space="0" w:color="auto"/>
        <w:left w:val="none" w:sz="0" w:space="0" w:color="auto"/>
        <w:bottom w:val="none" w:sz="0" w:space="0" w:color="auto"/>
        <w:right w:val="none" w:sz="0" w:space="0" w:color="auto"/>
      </w:divBdr>
    </w:div>
    <w:div w:id="1001808794">
      <w:bodyDiv w:val="1"/>
      <w:marLeft w:val="0"/>
      <w:marRight w:val="0"/>
      <w:marTop w:val="0"/>
      <w:marBottom w:val="0"/>
      <w:divBdr>
        <w:top w:val="none" w:sz="0" w:space="0" w:color="auto"/>
        <w:left w:val="none" w:sz="0" w:space="0" w:color="auto"/>
        <w:bottom w:val="none" w:sz="0" w:space="0" w:color="auto"/>
        <w:right w:val="none" w:sz="0" w:space="0" w:color="auto"/>
      </w:divBdr>
    </w:div>
    <w:div w:id="1129015106">
      <w:bodyDiv w:val="1"/>
      <w:marLeft w:val="0"/>
      <w:marRight w:val="0"/>
      <w:marTop w:val="0"/>
      <w:marBottom w:val="0"/>
      <w:divBdr>
        <w:top w:val="none" w:sz="0" w:space="0" w:color="auto"/>
        <w:left w:val="none" w:sz="0" w:space="0" w:color="auto"/>
        <w:bottom w:val="none" w:sz="0" w:space="0" w:color="auto"/>
        <w:right w:val="none" w:sz="0" w:space="0" w:color="auto"/>
      </w:divBdr>
    </w:div>
    <w:div w:id="1607809461">
      <w:bodyDiv w:val="1"/>
      <w:marLeft w:val="0"/>
      <w:marRight w:val="0"/>
      <w:marTop w:val="0"/>
      <w:marBottom w:val="0"/>
      <w:divBdr>
        <w:top w:val="none" w:sz="0" w:space="0" w:color="auto"/>
        <w:left w:val="none" w:sz="0" w:space="0" w:color="auto"/>
        <w:bottom w:val="none" w:sz="0" w:space="0" w:color="auto"/>
        <w:right w:val="none" w:sz="0" w:space="0" w:color="auto"/>
      </w:divBdr>
    </w:div>
    <w:div w:id="198720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742</Words>
  <Characters>4084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Aleida Rosas Morales Zeballos</dc:creator>
  <cp:keywords/>
  <dc:description/>
  <cp:lastModifiedBy>Juan Carlos Molina Pasalle</cp:lastModifiedBy>
  <cp:revision>4</cp:revision>
  <dcterms:created xsi:type="dcterms:W3CDTF">2021-06-14T22:13:00Z</dcterms:created>
  <dcterms:modified xsi:type="dcterms:W3CDTF">2021-11-23T22:58:00Z</dcterms:modified>
</cp:coreProperties>
</file>