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4D" w:rsidRPr="007063C3" w:rsidRDefault="0041204D" w:rsidP="0041204D">
      <w:pPr>
        <w:spacing w:after="0" w:line="240" w:lineRule="auto"/>
        <w:ind w:right="193"/>
        <w:jc w:val="center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 xml:space="preserve">FORMATO CUMPLIMIENTO DE NORMAS (APLICABLE PARA LAS CLAVES DEL GRUPO </w:t>
      </w:r>
      <w:r w:rsidR="00A52998" w:rsidRPr="007063C3">
        <w:rPr>
          <w:rFonts w:ascii="Montserrat" w:hAnsi="Montserrat" w:cs="Arial"/>
          <w:b/>
          <w:sz w:val="18"/>
          <w:szCs w:val="20"/>
        </w:rPr>
        <w:t>060</w:t>
      </w:r>
      <w:r w:rsidRPr="007063C3">
        <w:rPr>
          <w:rFonts w:ascii="Montserrat" w:hAnsi="Montserrat" w:cs="Arial"/>
          <w:b/>
          <w:sz w:val="18"/>
          <w:szCs w:val="20"/>
        </w:rPr>
        <w:t>)</w:t>
      </w:r>
    </w:p>
    <w:p w:rsidR="0041204D" w:rsidRPr="007063C3" w:rsidRDefault="0041204D" w:rsidP="0041204D">
      <w:pPr>
        <w:spacing w:after="0" w:line="240" w:lineRule="auto"/>
        <w:jc w:val="center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 xml:space="preserve">(CARTA EN ORIGINAL, PAPEL MEMBRETADO Y FIRMA AUTÓGRAFA DEL </w:t>
      </w:r>
      <w:r w:rsidR="00E024AF">
        <w:rPr>
          <w:rFonts w:ascii="Montserrat" w:hAnsi="Montserrat" w:cs="Arial"/>
          <w:sz w:val="18"/>
          <w:szCs w:val="20"/>
        </w:rPr>
        <w:t>LICITANTE</w:t>
      </w:r>
      <w:r w:rsidRPr="007063C3">
        <w:rPr>
          <w:rFonts w:ascii="Montserrat" w:hAnsi="Montserrat" w:cs="Arial"/>
          <w:sz w:val="18"/>
          <w:szCs w:val="20"/>
        </w:rPr>
        <w:t>)</w:t>
      </w:r>
    </w:p>
    <w:p w:rsidR="0041204D" w:rsidRPr="007063C3" w:rsidRDefault="0041204D" w:rsidP="0041204D">
      <w:pPr>
        <w:tabs>
          <w:tab w:val="left" w:pos="3480"/>
        </w:tabs>
        <w:spacing w:after="0" w:line="240" w:lineRule="auto"/>
        <w:ind w:right="193"/>
        <w:jc w:val="both"/>
        <w:rPr>
          <w:rFonts w:ascii="Montserrat" w:hAnsi="Montserrat" w:cs="Arial"/>
          <w:sz w:val="16"/>
          <w:szCs w:val="20"/>
        </w:rPr>
      </w:pPr>
      <w:r w:rsidRPr="007063C3">
        <w:rPr>
          <w:rFonts w:ascii="Montserrat" w:hAnsi="Montserrat" w:cs="Arial"/>
          <w:sz w:val="16"/>
          <w:szCs w:val="20"/>
        </w:rPr>
        <w:tab/>
      </w:r>
    </w:p>
    <w:p w:rsidR="0041204D" w:rsidRPr="007063C3" w:rsidRDefault="0041204D" w:rsidP="0041204D">
      <w:pPr>
        <w:spacing w:after="0" w:line="240" w:lineRule="auto"/>
        <w:ind w:right="49"/>
        <w:jc w:val="right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>______</w:t>
      </w:r>
      <w:proofErr w:type="spellStart"/>
      <w:r w:rsidRPr="007063C3">
        <w:rPr>
          <w:rFonts w:ascii="Montserrat" w:hAnsi="Montserrat" w:cs="Arial"/>
          <w:sz w:val="18"/>
          <w:szCs w:val="20"/>
        </w:rPr>
        <w:t>de___________de</w:t>
      </w:r>
      <w:proofErr w:type="spellEnd"/>
      <w:r w:rsidRPr="007063C3">
        <w:rPr>
          <w:rFonts w:ascii="Montserrat" w:hAnsi="Montserrat" w:cs="Arial"/>
          <w:sz w:val="18"/>
          <w:szCs w:val="20"/>
        </w:rPr>
        <w:t>_____________</w:t>
      </w:r>
    </w:p>
    <w:p w:rsidR="0041204D" w:rsidRPr="007063C3" w:rsidRDefault="0041204D" w:rsidP="0041204D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Instituto Mexicano del Seguro Social</w:t>
      </w:r>
    </w:p>
    <w:p w:rsidR="0041204D" w:rsidRPr="007063C3" w:rsidRDefault="00A143A8" w:rsidP="0041204D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P r e</w:t>
      </w:r>
      <w:r w:rsidR="0041204D" w:rsidRPr="007063C3">
        <w:rPr>
          <w:rFonts w:ascii="Montserrat" w:hAnsi="Montserrat" w:cs="Arial"/>
          <w:b/>
          <w:sz w:val="18"/>
          <w:szCs w:val="20"/>
        </w:rPr>
        <w:t xml:space="preserve"> s e n t e.</w:t>
      </w:r>
    </w:p>
    <w:p w:rsidR="0041204D" w:rsidRPr="007063C3" w:rsidRDefault="0041204D" w:rsidP="0041204D">
      <w:pPr>
        <w:spacing w:after="0" w:line="240" w:lineRule="auto"/>
        <w:rPr>
          <w:rFonts w:ascii="Montserrat" w:eastAsia="Calibri" w:hAnsi="Montserrat" w:cs="Times New Roman"/>
          <w:b/>
          <w:sz w:val="18"/>
          <w:szCs w:val="20"/>
        </w:rPr>
      </w:pPr>
    </w:p>
    <w:p w:rsidR="0041204D" w:rsidRPr="007063C3" w:rsidRDefault="0041204D" w:rsidP="0041204D">
      <w:pPr>
        <w:spacing w:after="0" w:line="240" w:lineRule="auto"/>
        <w:jc w:val="both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 xml:space="preserve">El suscrito 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(Nombre</w:t>
      </w:r>
      <w:proofErr w:type="gramStart"/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)</w:t>
      </w:r>
      <w:r w:rsidRPr="007063C3">
        <w:rPr>
          <w:rFonts w:ascii="Montserrat" w:hAnsi="Montserrat" w:cs="Arial"/>
          <w:b/>
          <w:bCs/>
          <w:sz w:val="18"/>
          <w:szCs w:val="20"/>
        </w:rPr>
        <w:t>_</w:t>
      </w:r>
      <w:proofErr w:type="gramEnd"/>
      <w:r w:rsidRPr="007063C3">
        <w:rPr>
          <w:rFonts w:ascii="Montserrat" w:hAnsi="Montserrat" w:cs="Arial"/>
          <w:b/>
          <w:bCs/>
          <w:sz w:val="18"/>
          <w:szCs w:val="20"/>
        </w:rPr>
        <w:t>___________</w:t>
      </w:r>
      <w:r w:rsidRPr="007063C3">
        <w:rPr>
          <w:rFonts w:ascii="Montserrat" w:hAnsi="Montserrat" w:cs="Arial"/>
          <w:sz w:val="18"/>
          <w:szCs w:val="20"/>
        </w:rPr>
        <w:t xml:space="preserve">, en mi calidad de Representante Legal o persona que cuenta con facultades para comprometer a la empresa  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 xml:space="preserve">(Nombre o Razón Social del </w:t>
      </w:r>
      <w:r w:rsidR="008C2332" w:rsidRPr="007063C3">
        <w:rPr>
          <w:rFonts w:ascii="Montserrat" w:hAnsi="Montserrat" w:cs="Arial"/>
          <w:b/>
          <w:bCs/>
          <w:sz w:val="18"/>
          <w:szCs w:val="20"/>
          <w:u w:val="single"/>
        </w:rPr>
        <w:t>Titular del Registro Sanitario o Representante Legal del Titular del Registro Indicado en éste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)</w:t>
      </w:r>
      <w:r w:rsidRPr="007063C3">
        <w:rPr>
          <w:rFonts w:ascii="Montserrat" w:hAnsi="Montserrat" w:cs="Arial"/>
          <w:sz w:val="18"/>
          <w:szCs w:val="20"/>
        </w:rPr>
        <w:t xml:space="preserve">, manifiesto que para las claves y registros sanitarios que oferta mi representada en el evento de licitación </w:t>
      </w:r>
      <w:r w:rsidRPr="007063C3">
        <w:rPr>
          <w:rFonts w:ascii="Montserrat" w:hAnsi="Montserrat" w:cs="Arial"/>
          <w:b/>
          <w:sz w:val="18"/>
          <w:szCs w:val="20"/>
          <w:u w:val="single"/>
        </w:rPr>
        <w:t>(indicar el número de evento)</w:t>
      </w:r>
      <w:r w:rsidRPr="007063C3">
        <w:rPr>
          <w:rFonts w:ascii="Montserrat" w:hAnsi="Montserrat" w:cs="Arial"/>
          <w:sz w:val="18"/>
          <w:szCs w:val="20"/>
          <w:u w:val="single"/>
        </w:rPr>
        <w:t xml:space="preserve"> </w:t>
      </w:r>
      <w:r w:rsidRPr="007063C3">
        <w:rPr>
          <w:rFonts w:ascii="Montserrat" w:hAnsi="Montserrat" w:cs="Arial"/>
          <w:sz w:val="18"/>
          <w:szCs w:val="20"/>
        </w:rPr>
        <w:t xml:space="preserve">y que se contienen en el Anexo X,  “Propuesta Técnica”, cumplen con: </w:t>
      </w:r>
    </w:p>
    <w:p w:rsidR="0041204D" w:rsidRPr="007063C3" w:rsidRDefault="0041204D" w:rsidP="0041204D">
      <w:pPr>
        <w:spacing w:after="0" w:line="240" w:lineRule="auto"/>
        <w:jc w:val="both"/>
        <w:rPr>
          <w:rFonts w:ascii="Montserrat" w:hAnsi="Montserrat" w:cs="Arial"/>
          <w:sz w:val="18"/>
          <w:szCs w:val="20"/>
        </w:rPr>
      </w:pPr>
    </w:p>
    <w:p w:rsidR="00111073" w:rsidRPr="007063C3" w:rsidRDefault="0041204D" w:rsidP="0041204D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>Lo establecido en la Ley General de Salud, en los artículos aplicables, Farmacopea de los Estados Unidos Mexicanos y sus suplementos, en las Normas Oficiales Mexicanas, Normas Mexicanas, Normas Internacionales, específicamente</w:t>
      </w:r>
      <w:r w:rsidR="00A52998"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: </w:t>
      </w:r>
      <w:r w:rsidR="007063C3" w:rsidRPr="007063C3">
        <w:rPr>
          <w:rFonts w:ascii="Montserrat" w:eastAsia="Calibri" w:hAnsi="Montserrat" w:cs="Arial"/>
          <w:sz w:val="18"/>
          <w:szCs w:val="20"/>
          <w:lang w:eastAsia="es-ES"/>
        </w:rPr>
        <w:t>NORMA Oficial Mexicana NOM-241-SSA1-2012, Buenas prácticas de fabricación para establecimientos dedicados a la fabricación de dispositivos médicos, NORMA Oficial Mexicana NOM-137-SSA1-2008, Etiquetado de dispositivos médicos, así como con las especificaciones técnicas del IMSS o de otras disposiciones legales, de conformidad con lo dispuesto en el artículo 60, Fracción III de la Ley de Infraestructura de la Calidad, y deberán cumplir con las características y especificaciones requeridas en la presente Convocatoria, por la(s) clave(s) en la(s) que participe y a falta de estas las especificaciones técnicas del fabricante.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</w:t>
      </w:r>
    </w:p>
    <w:p w:rsidR="009071E7" w:rsidRPr="007063C3" w:rsidRDefault="009071E7" w:rsidP="0041204D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7063C3" w:rsidRPr="007063C3" w:rsidRDefault="007063C3" w:rsidP="007063C3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>Para la clave 060.621.0664</w:t>
      </w:r>
      <w:r w:rsidR="00363BF8">
        <w:rPr>
          <w:rFonts w:ascii="Montserrat" w:eastAsia="Calibri" w:hAnsi="Montserrat" w:cs="Arial"/>
          <w:sz w:val="18"/>
          <w:szCs w:val="20"/>
          <w:lang w:eastAsia="es-ES"/>
        </w:rPr>
        <w:t>.00.01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además de cumplir con las normas aplicables y mencionadas anteriormente, también deberá cumplir con la:</w:t>
      </w:r>
    </w:p>
    <w:p w:rsidR="007063C3" w:rsidRPr="007063C3" w:rsidRDefault="007063C3" w:rsidP="007063C3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7063C3" w:rsidRPr="007E7FD7" w:rsidRDefault="007063C3" w:rsidP="007E7FD7">
      <w:pPr>
        <w:pStyle w:val="Prrafodelista"/>
        <w:numPr>
          <w:ilvl w:val="0"/>
          <w:numId w:val="6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 xml:space="preserve">Norma Oficial Mexicana NOM-116-STPS-2009, Seguridad-Equipo de Protección Personal- respiradores-purificadores de aire de presión negativa contra partículas nocivas-especificaciones y métodos de prueba. </w:t>
      </w:r>
    </w:p>
    <w:p w:rsidR="007063C3" w:rsidRPr="007063C3" w:rsidRDefault="007063C3" w:rsidP="007063C3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7063C3" w:rsidRDefault="007063C3" w:rsidP="007063C3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>Para las claves 060.231.0641</w:t>
      </w:r>
      <w:r w:rsidR="00363BF8"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060.231.0658</w:t>
      </w:r>
      <w:r w:rsidR="00363BF8"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060.231.0666</w:t>
      </w:r>
      <w:r w:rsidR="00363BF8"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060.231.0807</w:t>
      </w:r>
      <w:r w:rsidR="00363BF8"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060.231.0815</w:t>
      </w:r>
      <w:r w:rsidR="00363BF8"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y 060.231.0823</w:t>
      </w:r>
      <w:r w:rsidR="00363BF8"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además de cumplir con las aplicables y mencionadas anteriormente, también se deberá cumplir con las siguientes Normas Mexicanas:</w:t>
      </w:r>
    </w:p>
    <w:p w:rsidR="0083667F" w:rsidRPr="007063C3" w:rsidRDefault="0083667F" w:rsidP="007063C3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7063C3" w:rsidRPr="007E7FD7" w:rsidRDefault="007063C3" w:rsidP="007E7FD7">
      <w:pPr>
        <w:pStyle w:val="Prrafodelista"/>
        <w:numPr>
          <w:ilvl w:val="0"/>
          <w:numId w:val="4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>NMX-A-025-INNTEX-2017 - Industria del vestido-Batas desechables-Servicios hospitalarios-Especificaciones</w:t>
      </w:r>
    </w:p>
    <w:p w:rsidR="0041204D" w:rsidRPr="007E7FD7" w:rsidRDefault="007063C3" w:rsidP="007E7FD7">
      <w:pPr>
        <w:pStyle w:val="Prrafodelista"/>
        <w:numPr>
          <w:ilvl w:val="0"/>
          <w:numId w:val="4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>NMX-A-1833/16-INNTEX-2013 - Industria Textil - Análisis químico cuantitativo - Parte 16.</w:t>
      </w:r>
    </w:p>
    <w:p w:rsidR="007063C3" w:rsidRPr="007063C3" w:rsidRDefault="007063C3" w:rsidP="007063C3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7E7FD7" w:rsidRDefault="007E7FD7" w:rsidP="00DA0270">
      <w:pPr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>
        <w:rPr>
          <w:rFonts w:ascii="Montserrat" w:eastAsia="Calibri" w:hAnsi="Montserrat" w:cs="Arial"/>
          <w:sz w:val="18"/>
          <w:szCs w:val="18"/>
          <w:lang w:eastAsia="es-ES"/>
        </w:rPr>
        <w:t xml:space="preserve">Para la clave 060.066.1250.00.01 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además de cumplir con las aplicables y mencionadas anteriormente</w:t>
      </w:r>
      <w:r>
        <w:rPr>
          <w:rFonts w:ascii="Montserrat" w:eastAsia="Calibri" w:hAnsi="Montserrat" w:cs="Arial"/>
          <w:sz w:val="18"/>
          <w:szCs w:val="20"/>
          <w:lang w:eastAsia="es-ES"/>
        </w:rPr>
        <w:t xml:space="preserve"> se deberá cumplir con la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siguiente Norma Mexicana:</w:t>
      </w:r>
    </w:p>
    <w:p w:rsidR="007E7FD7" w:rsidRPr="007E7FD7" w:rsidRDefault="007E7FD7" w:rsidP="007E7FD7">
      <w:pPr>
        <w:pStyle w:val="Prrafodelista"/>
        <w:numPr>
          <w:ilvl w:val="0"/>
          <w:numId w:val="5"/>
        </w:numPr>
        <w:contextualSpacing/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 xml:space="preserve">NOM-EM-022-SE/SSA1-2021 </w:t>
      </w:r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 xml:space="preserve">Especificaciones generales para antisépticos tópicos a base de alcohol etílico o </w:t>
      </w:r>
      <w:proofErr w:type="spellStart"/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>isopropílico</w:t>
      </w:r>
      <w:proofErr w:type="spellEnd"/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>-Información comercial y sanitaria.</w:t>
      </w:r>
    </w:p>
    <w:p w:rsidR="00DA0270" w:rsidRPr="007063C3" w:rsidRDefault="00DA0270" w:rsidP="00DA0270">
      <w:pPr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  <w:r w:rsidRPr="007063C3">
        <w:rPr>
          <w:rFonts w:ascii="Montserrat" w:eastAsia="Calibri" w:hAnsi="Montserrat" w:cs="Arial"/>
          <w:sz w:val="18"/>
          <w:szCs w:val="18"/>
          <w:lang w:eastAsia="es-ES"/>
        </w:rPr>
        <w:t xml:space="preserve">De igual manera, manifiesto que: </w:t>
      </w:r>
    </w:p>
    <w:p w:rsidR="00DA0270" w:rsidRPr="007063C3" w:rsidRDefault="00DA0270" w:rsidP="00DA0270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>En el proceso de fabricación, almacenamiento y distribución se cumple con las disposiciones aplicables de la Ley General de Salud, y Farmacopea de los Estados Unidos Mexicanos y sus suplementos</w:t>
      </w:r>
    </w:p>
    <w:p w:rsidR="00833660" w:rsidRPr="007063C3" w:rsidRDefault="00833660" w:rsidP="00833660">
      <w:pPr>
        <w:pStyle w:val="Prrafodelista"/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</w:p>
    <w:p w:rsidR="00DA0270" w:rsidRPr="007063C3" w:rsidRDefault="00DA0270" w:rsidP="00DA0270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>En todos los casos, cuando el Instituto Mexicano del Seguro Social lo determine procedente se compromete a realizar pruebas de funcionalidad y/o pruebas en un laboratorio tercero autorizado por la COFEPRIS</w:t>
      </w:r>
    </w:p>
    <w:p w:rsidR="00833660" w:rsidRPr="007063C3" w:rsidRDefault="00833660" w:rsidP="00833660">
      <w:pPr>
        <w:pStyle w:val="Prrafodelista"/>
        <w:rPr>
          <w:rFonts w:ascii="Montserrat" w:eastAsia="Calibri" w:hAnsi="Montserrat"/>
          <w:sz w:val="18"/>
          <w:szCs w:val="18"/>
          <w:lang w:eastAsia="es-ES"/>
        </w:rPr>
      </w:pPr>
    </w:p>
    <w:p w:rsidR="00DA0270" w:rsidRPr="007063C3" w:rsidRDefault="00DA0270" w:rsidP="00DA0270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 xml:space="preserve">Las descripciones y presentaciones ofertadas se apegan de manera estricta a la contenida en el </w:t>
      </w:r>
      <w:r w:rsidR="00DB74D2">
        <w:rPr>
          <w:rFonts w:ascii="Montserrat" w:eastAsia="Calibri" w:hAnsi="Montserrat"/>
          <w:sz w:val="18"/>
          <w:szCs w:val="18"/>
        </w:rPr>
        <w:t>Anexo 1. Requerimiento</w:t>
      </w:r>
      <w:r w:rsidRPr="007063C3">
        <w:rPr>
          <w:rFonts w:ascii="Montserrat" w:eastAsia="Calibri" w:hAnsi="Montserrat"/>
          <w:sz w:val="18"/>
          <w:szCs w:val="18"/>
        </w:rPr>
        <w:t>.</w:t>
      </w:r>
    </w:p>
    <w:p w:rsidR="0041204D" w:rsidRPr="007063C3" w:rsidRDefault="0041204D" w:rsidP="0041204D">
      <w:pPr>
        <w:spacing w:after="0" w:line="240" w:lineRule="auto"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41204D" w:rsidRPr="007063C3" w:rsidRDefault="0041204D" w:rsidP="0041204D">
      <w:pPr>
        <w:jc w:val="center"/>
        <w:rPr>
          <w:rFonts w:ascii="Montserrat" w:hAnsi="Montserrat" w:cs="Arial"/>
          <w:b/>
          <w:sz w:val="18"/>
          <w:szCs w:val="20"/>
        </w:rPr>
      </w:pPr>
      <w:bookmarkStart w:id="0" w:name="_GoBack"/>
      <w:bookmarkEnd w:id="0"/>
      <w:r w:rsidRPr="007063C3">
        <w:rPr>
          <w:rFonts w:ascii="Montserrat" w:hAnsi="Montserrat" w:cs="Arial"/>
          <w:b/>
          <w:sz w:val="18"/>
          <w:szCs w:val="20"/>
        </w:rPr>
        <w:t>___________________________________________________________</w:t>
      </w:r>
    </w:p>
    <w:p w:rsidR="007E7FD7" w:rsidRDefault="0041204D" w:rsidP="007E7FD7">
      <w:pPr>
        <w:spacing w:after="0" w:line="240" w:lineRule="auto"/>
        <w:jc w:val="center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NOMBRE Y FIRMA</w:t>
      </w:r>
    </w:p>
    <w:p w:rsidR="004B2E30" w:rsidRPr="007063C3" w:rsidRDefault="00DA0270" w:rsidP="007E7FD7">
      <w:pPr>
        <w:spacing w:after="0" w:line="240" w:lineRule="auto"/>
        <w:jc w:val="center"/>
        <w:rPr>
          <w:rFonts w:ascii="Montserrat" w:hAnsi="Montserrat"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 xml:space="preserve">DEL </w:t>
      </w:r>
      <w:r w:rsidR="00E024AF">
        <w:rPr>
          <w:rFonts w:ascii="Montserrat" w:hAnsi="Montserrat" w:cs="Arial"/>
          <w:b/>
          <w:sz w:val="18"/>
          <w:szCs w:val="20"/>
        </w:rPr>
        <w:t>LICITANTE</w:t>
      </w:r>
      <w:r w:rsidR="00A75754" w:rsidRPr="007063C3">
        <w:rPr>
          <w:rFonts w:ascii="Montserrat" w:hAnsi="Montserrat" w:cs="Arial"/>
          <w:b/>
          <w:sz w:val="18"/>
          <w:szCs w:val="20"/>
        </w:rPr>
        <w:t xml:space="preserve"> O </w:t>
      </w:r>
      <w:r w:rsidRPr="007063C3">
        <w:rPr>
          <w:rFonts w:ascii="Montserrat" w:hAnsi="Montserrat" w:cs="Arial"/>
          <w:b/>
          <w:sz w:val="18"/>
          <w:szCs w:val="20"/>
        </w:rPr>
        <w:t>TITULAR DEL REGISTRO SANITARIO O REPRESENTANTE LEGAL DEL TITULAR DEL REGISTRO INDICADO EN ÉSTE</w:t>
      </w:r>
    </w:p>
    <w:sectPr w:rsidR="004B2E30" w:rsidRPr="007063C3" w:rsidSect="007126EA">
      <w:headerReference w:type="default" r:id="rId8"/>
      <w:footerReference w:type="default" r:id="rId9"/>
      <w:pgSz w:w="12240" w:h="15840" w:code="1"/>
      <w:pgMar w:top="238" w:right="1134" w:bottom="244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EA" w:rsidRDefault="009821EA">
      <w:pPr>
        <w:spacing w:after="0" w:line="240" w:lineRule="auto"/>
      </w:pPr>
      <w:r>
        <w:separator/>
      </w:r>
    </w:p>
  </w:endnote>
  <w:endnote w:type="continuationSeparator" w:id="0">
    <w:p w:rsidR="009821EA" w:rsidRDefault="0098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 Regular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7E7FD7">
    <w:pPr>
      <w:pStyle w:val="Piedepgina"/>
      <w:jc w:val="right"/>
    </w:pPr>
  </w:p>
  <w:p w:rsidR="003A4BA6" w:rsidRDefault="007E7F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EA" w:rsidRDefault="009821EA">
      <w:pPr>
        <w:spacing w:after="0" w:line="240" w:lineRule="auto"/>
      </w:pPr>
      <w:r>
        <w:separator/>
      </w:r>
    </w:p>
  </w:footnote>
  <w:footnote w:type="continuationSeparator" w:id="0">
    <w:p w:rsidR="009821EA" w:rsidRDefault="0098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49" w:rsidRDefault="00CC0D49" w:rsidP="00C76813">
    <w:pPr>
      <w:pStyle w:val="Encabezado"/>
      <w:jc w:val="center"/>
      <w:rPr>
        <w:rFonts w:ascii="Montserrat Medium" w:hAnsi="Montserrat Medium"/>
      </w:rPr>
    </w:pPr>
  </w:p>
  <w:p w:rsidR="003A4BA6" w:rsidRPr="00A143A8" w:rsidRDefault="008133A2" w:rsidP="00C76813">
    <w:pPr>
      <w:pStyle w:val="Encabezado"/>
      <w:jc w:val="center"/>
      <w:rPr>
        <w:rFonts w:ascii="Montserrat" w:hAnsi="Montserrat"/>
        <w:sz w:val="20"/>
        <w:szCs w:val="20"/>
      </w:rPr>
    </w:pPr>
    <w:r w:rsidRPr="00A143A8">
      <w:rPr>
        <w:rFonts w:ascii="Montserrat" w:hAnsi="Montserrat"/>
        <w:sz w:val="20"/>
        <w:szCs w:val="20"/>
      </w:rPr>
      <w:t>PAPEL MEMBRETADO</w:t>
    </w:r>
  </w:p>
  <w:p w:rsidR="000F4B50" w:rsidRPr="00EE4068" w:rsidRDefault="007E7FD7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76D"/>
    <w:multiLevelType w:val="hybridMultilevel"/>
    <w:tmpl w:val="C5B8DE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E0154"/>
    <w:multiLevelType w:val="hybridMultilevel"/>
    <w:tmpl w:val="562643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D4D6D"/>
    <w:multiLevelType w:val="hybridMultilevel"/>
    <w:tmpl w:val="22660A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4D"/>
    <w:rsid w:val="000236F2"/>
    <w:rsid w:val="00036FF5"/>
    <w:rsid w:val="000918D5"/>
    <w:rsid w:val="000B24DB"/>
    <w:rsid w:val="00107452"/>
    <w:rsid w:val="00111073"/>
    <w:rsid w:val="001215BD"/>
    <w:rsid w:val="00137CBC"/>
    <w:rsid w:val="001E21CC"/>
    <w:rsid w:val="002066BE"/>
    <w:rsid w:val="00231D3F"/>
    <w:rsid w:val="002459B6"/>
    <w:rsid w:val="002A0101"/>
    <w:rsid w:val="002E5A15"/>
    <w:rsid w:val="00363BF8"/>
    <w:rsid w:val="003C0A7B"/>
    <w:rsid w:val="003D6B52"/>
    <w:rsid w:val="0041204D"/>
    <w:rsid w:val="004533D8"/>
    <w:rsid w:val="004654FB"/>
    <w:rsid w:val="004B2E30"/>
    <w:rsid w:val="004D7EF1"/>
    <w:rsid w:val="00546572"/>
    <w:rsid w:val="005851E8"/>
    <w:rsid w:val="005B7A1C"/>
    <w:rsid w:val="00656E92"/>
    <w:rsid w:val="006E7358"/>
    <w:rsid w:val="007063C3"/>
    <w:rsid w:val="007126EA"/>
    <w:rsid w:val="00713B79"/>
    <w:rsid w:val="007E7FD7"/>
    <w:rsid w:val="008002AB"/>
    <w:rsid w:val="00807695"/>
    <w:rsid w:val="008133A2"/>
    <w:rsid w:val="00833660"/>
    <w:rsid w:val="0083667F"/>
    <w:rsid w:val="00857F55"/>
    <w:rsid w:val="00870BB0"/>
    <w:rsid w:val="00873486"/>
    <w:rsid w:val="00875BB3"/>
    <w:rsid w:val="0089205A"/>
    <w:rsid w:val="008C0B32"/>
    <w:rsid w:val="008C2332"/>
    <w:rsid w:val="009071E7"/>
    <w:rsid w:val="00912591"/>
    <w:rsid w:val="009821EA"/>
    <w:rsid w:val="00A143A8"/>
    <w:rsid w:val="00A2646C"/>
    <w:rsid w:val="00A52998"/>
    <w:rsid w:val="00A75754"/>
    <w:rsid w:val="00A80872"/>
    <w:rsid w:val="00AA28D8"/>
    <w:rsid w:val="00AE3F66"/>
    <w:rsid w:val="00AF6C3C"/>
    <w:rsid w:val="00B17CDE"/>
    <w:rsid w:val="00B217C1"/>
    <w:rsid w:val="00B25B9E"/>
    <w:rsid w:val="00B32F9E"/>
    <w:rsid w:val="00B45C13"/>
    <w:rsid w:val="00BA5A35"/>
    <w:rsid w:val="00BB0886"/>
    <w:rsid w:val="00BE0E40"/>
    <w:rsid w:val="00C12007"/>
    <w:rsid w:val="00C2552E"/>
    <w:rsid w:val="00C60A00"/>
    <w:rsid w:val="00C9321E"/>
    <w:rsid w:val="00CC0D49"/>
    <w:rsid w:val="00CC23C7"/>
    <w:rsid w:val="00CE5C9E"/>
    <w:rsid w:val="00CF5D80"/>
    <w:rsid w:val="00D07E54"/>
    <w:rsid w:val="00DA0270"/>
    <w:rsid w:val="00DB74D2"/>
    <w:rsid w:val="00DE0CDB"/>
    <w:rsid w:val="00E024AF"/>
    <w:rsid w:val="00F26B19"/>
    <w:rsid w:val="00F40C98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4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D"/>
    <w:rPr>
      <w:lang w:val="es-MX"/>
    </w:rPr>
  </w:style>
  <w:style w:type="paragraph" w:styleId="Sinespaciado">
    <w:name w:val="No Spacing"/>
    <w:link w:val="SinespaciadoCar"/>
    <w:uiPriority w:val="1"/>
    <w:qFormat/>
    <w:rsid w:val="0041204D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204D"/>
    <w:rPr>
      <w:rFonts w:eastAsiaTheme="minorEastAsia"/>
      <w:lang w:val="es-MX"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41204D"/>
    <w:pPr>
      <w:spacing w:after="0" w:line="240" w:lineRule="auto"/>
      <w:ind w:left="720"/>
    </w:pPr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107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74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7452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7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452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452"/>
    <w:rPr>
      <w:rFonts w:ascii="Tahoma" w:hAnsi="Tahoma" w:cs="Tahoma"/>
      <w:sz w:val="16"/>
      <w:szCs w:val="16"/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DA0270"/>
    <w:rPr>
      <w:rFonts w:ascii="Calibri" w:hAnsi="Calibri" w:cs="Times New Roman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4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D"/>
    <w:rPr>
      <w:lang w:val="es-MX"/>
    </w:rPr>
  </w:style>
  <w:style w:type="paragraph" w:styleId="Sinespaciado">
    <w:name w:val="No Spacing"/>
    <w:link w:val="SinespaciadoCar"/>
    <w:uiPriority w:val="1"/>
    <w:qFormat/>
    <w:rsid w:val="0041204D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204D"/>
    <w:rPr>
      <w:rFonts w:eastAsiaTheme="minorEastAsia"/>
      <w:lang w:val="es-MX"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41204D"/>
    <w:pPr>
      <w:spacing w:after="0" w:line="240" w:lineRule="auto"/>
      <w:ind w:left="720"/>
    </w:pPr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107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74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7452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7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452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452"/>
    <w:rPr>
      <w:rFonts w:ascii="Tahoma" w:hAnsi="Tahoma" w:cs="Tahoma"/>
      <w:sz w:val="16"/>
      <w:szCs w:val="16"/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DA0270"/>
    <w:rPr>
      <w:rFonts w:ascii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Alejandro Andreu Gomez</dc:creator>
  <cp:lastModifiedBy>Jonathan Kalid Camarena Tellez</cp:lastModifiedBy>
  <cp:revision>2</cp:revision>
  <cp:lastPrinted>2020-07-08T00:45:00Z</cp:lastPrinted>
  <dcterms:created xsi:type="dcterms:W3CDTF">2021-06-17T20:08:00Z</dcterms:created>
  <dcterms:modified xsi:type="dcterms:W3CDTF">2021-06-17T20:08:00Z</dcterms:modified>
</cp:coreProperties>
</file>