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9341BC">
        <w:rPr>
          <w:b/>
          <w:color w:val="0070C0"/>
        </w:rPr>
        <w:t>LO</w:t>
      </w:r>
      <w:r w:rsidRPr="0073156C">
        <w:rPr>
          <w:b/>
          <w:color w:val="0070C0"/>
        </w:rPr>
        <w:t>-019GYR119-</w:t>
      </w:r>
      <w:r w:rsidR="00D843F8" w:rsidRPr="00225870">
        <w:rPr>
          <w:b/>
          <w:color w:val="0070C0"/>
        </w:rPr>
        <w:t>E</w:t>
      </w:r>
      <w:r w:rsidR="009341BC">
        <w:rPr>
          <w:b/>
          <w:color w:val="0070C0"/>
        </w:rPr>
        <w:t>8</w:t>
      </w:r>
      <w:r w:rsidR="00391150">
        <w:rPr>
          <w:b/>
          <w:color w:val="0070C0"/>
        </w:rPr>
        <w:t>4</w:t>
      </w:r>
      <w:r w:rsidRPr="00225870">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391150" w:rsidRPr="00391150">
        <w:rPr>
          <w:b/>
          <w:color w:val="0070C0"/>
        </w:rPr>
        <w:t>AMPLIACIÓN Y REMODELACIÓN DE QUIRÓFANOS Y ÁREA DE TERAPIA INTENSIVA POSTQUIRÚRGICA DEL HOSPITAL DE CARDIOLOGÍA DEL CENTRO MÉDICO NACIONAL SIGLO XXI</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w:t>
      </w:r>
      <w:r w:rsidR="00C85CB4">
        <w:t xml:space="preserve">                                 </w:t>
      </w:r>
      <w:r w:rsidR="0073156C">
        <w:t xml:space="preserve">No. </w:t>
      </w:r>
      <w:r w:rsidR="009341BC">
        <w:rPr>
          <w:b/>
          <w:color w:val="0070C0"/>
        </w:rPr>
        <w:t>LO</w:t>
      </w:r>
      <w:r w:rsidR="0073156C" w:rsidRPr="00F470BB">
        <w:rPr>
          <w:b/>
          <w:color w:val="0070C0"/>
        </w:rPr>
        <w:t>-019GYR119-</w:t>
      </w:r>
      <w:r w:rsidR="00BD13AA" w:rsidRPr="00225870">
        <w:rPr>
          <w:b/>
          <w:color w:val="0070C0"/>
        </w:rPr>
        <w:t>E</w:t>
      </w:r>
      <w:r w:rsidR="00391150">
        <w:rPr>
          <w:b/>
          <w:color w:val="0070C0"/>
        </w:rPr>
        <w:t>84</w:t>
      </w:r>
      <w:r w:rsidR="0073156C" w:rsidRPr="00225870">
        <w:rPr>
          <w:b/>
          <w:color w:val="0070C0"/>
        </w:rPr>
        <w:t>-201</w:t>
      </w:r>
      <w:r w:rsidR="00D623B7" w:rsidRPr="00225870">
        <w:rPr>
          <w:b/>
          <w:color w:val="0070C0"/>
        </w:rPr>
        <w:t>6</w:t>
      </w:r>
      <w:r w:rsidR="0073156C" w:rsidRPr="002815CF">
        <w:t>; para la adjudicación del contrato de obra pública bajo la condición de pago sobre la base de precios unitarios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9674B1">
        <w:rPr>
          <w:b/>
          <w:color w:val="0070C0"/>
        </w:rPr>
        <w:t>“</w:t>
      </w:r>
      <w:r w:rsidR="00391150" w:rsidRPr="00391150">
        <w:rPr>
          <w:b/>
          <w:color w:val="0070C0"/>
        </w:rPr>
        <w:t>AMPLIACIÓN Y REMODELACIÓN DE QUIRÓFANOS Y ÁREA DE TERAPIA INTENSIVA POSTQUIRÚRGICA DEL HOSPITAL DE CARDIOLOGÍA DEL CENTRO MÉDICO NACIONAL SIGLO XXI</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w:t>
      </w:r>
      <w:r w:rsidR="00391150">
        <w:t>e</w:t>
      </w:r>
      <w:r w:rsidR="00391150" w:rsidRPr="003C6924">
        <w:t>n</w:t>
      </w:r>
      <w:r w:rsidR="00391150">
        <w:t xml:space="preserve"> </w:t>
      </w:r>
      <w:r w:rsidR="00391150" w:rsidRPr="00391150">
        <w:t xml:space="preserve">Avenida Cuauhtémoc </w:t>
      </w:r>
      <w:r w:rsidR="00391150">
        <w:t xml:space="preserve">No. </w:t>
      </w:r>
      <w:r w:rsidR="00391150" w:rsidRPr="00391150">
        <w:t>330, Colonia Doctores C</w:t>
      </w:r>
      <w:r w:rsidR="00391150">
        <w:t xml:space="preserve">ódigo </w:t>
      </w:r>
      <w:r w:rsidR="00391150" w:rsidRPr="00391150">
        <w:t>P</w:t>
      </w:r>
      <w:r w:rsidR="00391150">
        <w:t>ostal</w:t>
      </w:r>
      <w:r w:rsidR="00391150" w:rsidRPr="00391150">
        <w:t xml:space="preserve"> </w:t>
      </w:r>
      <w:r w:rsidR="00391150">
        <w:t>0</w:t>
      </w:r>
      <w:r w:rsidR="00391150" w:rsidRPr="00391150">
        <w:t xml:space="preserve">6720, Delegación Cuauhtémoc, </w:t>
      </w:r>
      <w:r w:rsidR="006712D9">
        <w:t xml:space="preserve">Ciudad de </w:t>
      </w:r>
      <w:r w:rsidR="00B63D78" w:rsidRPr="00B63D78">
        <w:t>México</w:t>
      </w:r>
      <w:r w:rsidR="00B63D78">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00BA43FC">
        <w:rPr>
          <w:b/>
          <w:color w:val="0070C0"/>
        </w:rPr>
        <w:t>5</w:t>
      </w:r>
      <w:r w:rsidR="00391150">
        <w:rPr>
          <w:b/>
          <w:color w:val="0070C0"/>
        </w:rPr>
        <w:t>2</w:t>
      </w:r>
      <w:r w:rsidR="00BA43FC">
        <w:rPr>
          <w:b/>
          <w:color w:val="0070C0"/>
        </w:rPr>
        <w:t>0</w:t>
      </w:r>
      <w:r w:rsidRPr="003C6924">
        <w:rPr>
          <w:b/>
        </w:rPr>
        <w:t xml:space="preserve"> </w:t>
      </w:r>
      <w:r w:rsidRPr="003C6924">
        <w:t>días naturales</w:t>
      </w:r>
      <w:r w:rsidRPr="00FB605B">
        <w:t xml:space="preserve">, con fecha estimada para su inicio </w:t>
      </w:r>
      <w:r w:rsidRPr="003C6924">
        <w:t xml:space="preserve">el </w:t>
      </w:r>
      <w:r w:rsidR="00097F21">
        <w:t xml:space="preserve">día </w:t>
      </w:r>
      <w:r w:rsidR="009341BC" w:rsidRPr="009341BC">
        <w:rPr>
          <w:b/>
          <w:color w:val="0070C0"/>
        </w:rPr>
        <w:t>2</w:t>
      </w:r>
      <w:r w:rsidR="00097F21">
        <w:rPr>
          <w:b/>
          <w:color w:val="0070C0"/>
        </w:rPr>
        <w:t>3</w:t>
      </w:r>
      <w:r w:rsidR="009341BC">
        <w:rPr>
          <w:b/>
          <w:color w:val="0070C0"/>
        </w:rPr>
        <w:t xml:space="preserve"> de noviembre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097F21">
        <w:t xml:space="preserve">día </w:t>
      </w:r>
      <w:r w:rsidR="009341BC">
        <w:rPr>
          <w:b/>
          <w:color w:val="0070C0"/>
        </w:rPr>
        <w:t>3</w:t>
      </w:r>
      <w:r w:rsidR="00085539">
        <w:rPr>
          <w:b/>
          <w:color w:val="0070C0"/>
        </w:rPr>
        <w:t xml:space="preserve"> de </w:t>
      </w:r>
      <w:r w:rsidR="009341BC">
        <w:rPr>
          <w:b/>
          <w:color w:val="0070C0"/>
        </w:rPr>
        <w:t>octubre</w:t>
      </w:r>
      <w:r w:rsidR="00085539">
        <w:rPr>
          <w:b/>
          <w:color w:val="0070C0"/>
        </w:rPr>
        <w:t xml:space="preserve"> de 2016</w:t>
      </w:r>
      <w:r w:rsidRPr="003C6924">
        <w:rPr>
          <w:b/>
          <w:color w:val="0070C0"/>
        </w:rPr>
        <w:t>,</w:t>
      </w:r>
      <w:r w:rsidRPr="00151088">
        <w:rPr>
          <w:b/>
          <w:color w:val="0070C0"/>
        </w:rPr>
        <w:t xml:space="preserve"> a las </w:t>
      </w:r>
      <w:r w:rsidR="009341BC">
        <w:rPr>
          <w:b/>
          <w:color w:val="0070C0"/>
        </w:rPr>
        <w:t>1</w:t>
      </w:r>
      <w:r w:rsidR="00097F21">
        <w:rPr>
          <w:b/>
          <w:color w:val="0070C0"/>
        </w:rPr>
        <w:t>1</w:t>
      </w:r>
      <w:r w:rsidR="009341BC">
        <w:rPr>
          <w:b/>
          <w:color w:val="0070C0"/>
        </w:rPr>
        <w:t>:00</w:t>
      </w:r>
      <w:r w:rsidRPr="003C6924">
        <w:rPr>
          <w:b/>
          <w:color w:val="0070C0"/>
        </w:rPr>
        <w:t xml:space="preserve"> horas,</w:t>
      </w:r>
      <w:r w:rsidRPr="003C6924">
        <w:t xml:space="preserve"> siendo el punto de reunión en </w:t>
      </w:r>
      <w:r w:rsidR="00D060C8">
        <w:t>la entrada principal del</w:t>
      </w:r>
      <w:r w:rsidR="00BA43FC" w:rsidRPr="00BA43FC">
        <w:rPr>
          <w:b/>
          <w:color w:val="0070C0"/>
        </w:rPr>
        <w:t xml:space="preserve"> </w:t>
      </w:r>
      <w:r w:rsidR="00097F21" w:rsidRPr="00097F21">
        <w:t>Hospital de Cardiología del Centro Médico Nacional Siglo XXI</w:t>
      </w:r>
      <w:r w:rsidR="00B16441" w:rsidRPr="00097F21">
        <w:t xml:space="preserve">, </w:t>
      </w:r>
      <w:r w:rsidR="00225A75" w:rsidRPr="00097F21">
        <w:t xml:space="preserve">ubicado en </w:t>
      </w:r>
      <w:r w:rsidR="00097F21" w:rsidRPr="00097F21">
        <w:t>Avenida Cuauhtémoc No. 330, Colonia Doctores Código Postal 06720, Delegación Cuauhtémoc, Ciudad de México</w:t>
      </w:r>
      <w:r w:rsidR="00225A75">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w:t>
      </w:r>
      <w:r w:rsidR="002159E3">
        <w:t xml:space="preserve">los trabajos relativos a la </w:t>
      </w:r>
      <w:r w:rsidR="000F4FA8" w:rsidRPr="000F4FA8">
        <w:rPr>
          <w:b/>
          <w:color w:val="0070C0"/>
        </w:rPr>
        <w:t xml:space="preserve">Ampliación y Remodelación </w:t>
      </w:r>
      <w:r w:rsidR="00097F21">
        <w:rPr>
          <w:b/>
          <w:color w:val="0070C0"/>
        </w:rPr>
        <w:t>d</w:t>
      </w:r>
      <w:r w:rsidR="00097F21" w:rsidRPr="00097F21">
        <w:rPr>
          <w:b/>
          <w:color w:val="0070C0"/>
        </w:rPr>
        <w:t xml:space="preserve">e Quirófanos </w:t>
      </w:r>
      <w:r w:rsidR="00097F21">
        <w:rPr>
          <w:b/>
          <w:color w:val="0070C0"/>
        </w:rPr>
        <w:t>y</w:t>
      </w:r>
      <w:r w:rsidR="00097F21" w:rsidRPr="00097F21">
        <w:rPr>
          <w:b/>
          <w:color w:val="0070C0"/>
        </w:rPr>
        <w:t xml:space="preserve"> Área </w:t>
      </w:r>
      <w:r w:rsidR="00097F21">
        <w:rPr>
          <w:b/>
          <w:color w:val="0070C0"/>
        </w:rPr>
        <w:t>d</w:t>
      </w:r>
      <w:r w:rsidR="00097F21" w:rsidRPr="00097F21">
        <w:rPr>
          <w:b/>
          <w:color w:val="0070C0"/>
        </w:rPr>
        <w:t xml:space="preserve">e Terapia Intensiva Postquirúrgica </w:t>
      </w:r>
      <w:r w:rsidR="00097F21">
        <w:rPr>
          <w:b/>
          <w:color w:val="0070C0"/>
        </w:rPr>
        <w:t>d</w:t>
      </w:r>
      <w:r w:rsidR="00097F21" w:rsidRPr="00097F21">
        <w:rPr>
          <w:b/>
          <w:color w:val="0070C0"/>
        </w:rPr>
        <w:t xml:space="preserve">el Hospital </w:t>
      </w:r>
      <w:r w:rsidR="00097F21">
        <w:rPr>
          <w:b/>
          <w:color w:val="0070C0"/>
        </w:rPr>
        <w:t>d</w:t>
      </w:r>
      <w:r w:rsidR="00097F21" w:rsidRPr="00097F21">
        <w:rPr>
          <w:b/>
          <w:color w:val="0070C0"/>
        </w:rPr>
        <w:t xml:space="preserve">e Cardiología </w:t>
      </w:r>
      <w:r w:rsidR="00097F21">
        <w:rPr>
          <w:b/>
          <w:color w:val="0070C0"/>
        </w:rPr>
        <w:t>d</w:t>
      </w:r>
      <w:r w:rsidR="00097F21" w:rsidRPr="00097F21">
        <w:rPr>
          <w:b/>
          <w:color w:val="0070C0"/>
        </w:rPr>
        <w:t>el Centro Médico Nacional Siglo X</w:t>
      </w:r>
      <w:r w:rsidR="00097F21">
        <w:rPr>
          <w:b/>
          <w:color w:val="0070C0"/>
        </w:rPr>
        <w:t>XI</w:t>
      </w:r>
      <w:r w:rsidR="002159E3">
        <w:rPr>
          <w:b/>
          <w:color w:val="0070C0"/>
        </w:rPr>
        <w:t>,</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713045">
      <w:pPr>
        <w:spacing w:before="120"/>
        <w:ind w:left="710"/>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097F21">
        <w:t xml:space="preserve">día </w:t>
      </w:r>
      <w:r w:rsidR="00151088">
        <w:rPr>
          <w:b/>
          <w:color w:val="0070C0"/>
        </w:rPr>
        <w:t>5</w:t>
      </w:r>
      <w:r w:rsidR="00085539">
        <w:rPr>
          <w:b/>
          <w:color w:val="0070C0"/>
        </w:rPr>
        <w:t xml:space="preserve"> de </w:t>
      </w:r>
      <w:r w:rsidR="00151088">
        <w:rPr>
          <w:b/>
          <w:color w:val="0070C0"/>
        </w:rPr>
        <w:t>octubre</w:t>
      </w:r>
      <w:r w:rsidR="00085539">
        <w:rPr>
          <w:b/>
          <w:color w:val="0070C0"/>
        </w:rPr>
        <w:t xml:space="preserve"> de 2016</w:t>
      </w:r>
      <w:r w:rsidRPr="00151088">
        <w:rPr>
          <w:b/>
          <w:color w:val="0070C0"/>
        </w:rPr>
        <w:t xml:space="preserve"> a las </w:t>
      </w:r>
      <w:r w:rsidR="00097F21">
        <w:rPr>
          <w:b/>
          <w:color w:val="0070C0"/>
        </w:rPr>
        <w:t>11</w:t>
      </w:r>
      <w:r w:rsidR="00151088">
        <w:rPr>
          <w:b/>
          <w:color w:val="0070C0"/>
        </w:rPr>
        <w:t>:00</w:t>
      </w:r>
      <w:r w:rsidRPr="003C6924">
        <w:rPr>
          <w:b/>
          <w:color w:val="0070C0"/>
        </w:rPr>
        <w:t xml:space="preserve"> horas,</w:t>
      </w:r>
      <w:r w:rsidRPr="003C6924">
        <w:rPr>
          <w:b/>
        </w:rPr>
        <w:t xml:space="preserve"> </w:t>
      </w:r>
      <w:r w:rsidR="00085539" w:rsidRPr="00085539">
        <w:t>e</w:t>
      </w:r>
      <w:r w:rsidRPr="00085539">
        <w:t>n la</w:t>
      </w:r>
      <w:r w:rsidRPr="003C6924">
        <w:rPr>
          <w:b/>
        </w:rPr>
        <w:t xml:space="preserve"> </w:t>
      </w:r>
      <w:r w:rsidRPr="00023E9E">
        <w:t>Sala de Juntas de la Coordinación Técnica de Proyectos y Construcción de Inmuebles, ubicada en calle Durango No. 291, 3</w:t>
      </w:r>
      <w:r w:rsidR="00097F21">
        <w:t>er</w:t>
      </w:r>
      <w:r w:rsidRPr="00023E9E">
        <w:t xml:space="preserve"> Piso, Colonia Roma, Delegación Cuauhtémoc, Código Postal 06700,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xml:space="preserve">, por sí o en representación de un tercero, </w:t>
      </w:r>
      <w:r w:rsidRPr="001D6815">
        <w:lastRenderedPageBreak/>
        <w:t>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lastRenderedPageBreak/>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Default="00771AC2" w:rsidP="00845F7F">
      <w:pPr>
        <w:widowControl w:val="0"/>
        <w:suppressAutoHyphens w:val="0"/>
        <w:autoSpaceDE/>
        <w:spacing w:before="120"/>
        <w:ind w:left="709"/>
        <w:rPr>
          <w:bCs/>
        </w:rPr>
      </w:pPr>
      <w:r w:rsidRPr="00771AC2">
        <w:rPr>
          <w:bCs/>
        </w:rPr>
        <w:t xml:space="preserve">Para cubrir las erogaciones que se deriven del contrato que se adjudique con motivo de la presente </w:t>
      </w:r>
      <w:r w:rsidR="00D34FA4">
        <w:rPr>
          <w:bCs/>
        </w:rPr>
        <w:t>Licitación Pública Nacional</w:t>
      </w:r>
      <w:r w:rsidRPr="00771AC2">
        <w:rPr>
          <w:bCs/>
        </w:rPr>
        <w:t>, se cuenta con los recursos necesarios, tal como se desprende de la autorización emitida por el Consejo Técnico, mediante el Acuerdo ACDO.AS3.HCT.</w:t>
      </w:r>
      <w:r w:rsidR="00EA5996">
        <w:rPr>
          <w:bCs/>
        </w:rPr>
        <w:t>091215</w:t>
      </w:r>
      <w:r w:rsidRPr="00771AC2">
        <w:rPr>
          <w:bCs/>
        </w:rPr>
        <w:t>/</w:t>
      </w:r>
      <w:r w:rsidR="00EA5996">
        <w:rPr>
          <w:bCs/>
        </w:rPr>
        <w:t>297</w:t>
      </w:r>
      <w:r w:rsidRPr="00771AC2">
        <w:rPr>
          <w:bCs/>
        </w:rPr>
        <w:t xml:space="preserve">.P.DF, en su sesión celebrada el </w:t>
      </w:r>
      <w:r w:rsidR="00EA5996">
        <w:rPr>
          <w:bCs/>
        </w:rPr>
        <w:t>9 de diciembre</w:t>
      </w:r>
      <w:r w:rsidRPr="00771AC2">
        <w:rPr>
          <w:bCs/>
        </w:rPr>
        <w:t xml:space="preserve"> de 201</w:t>
      </w:r>
      <w:r w:rsidR="00EA5996">
        <w:rPr>
          <w:bCs/>
        </w:rPr>
        <w:t>5</w:t>
      </w:r>
      <w:r w:rsidRPr="00771AC2">
        <w:rPr>
          <w:bCs/>
        </w:rPr>
        <w:t>, a través del Oficio de Liberación de Inversión número 0990016B3000/OP/01</w:t>
      </w:r>
      <w:r w:rsidR="00EA5996">
        <w:rPr>
          <w:bCs/>
        </w:rPr>
        <w:t>2</w:t>
      </w:r>
      <w:r w:rsidRPr="00771AC2">
        <w:rPr>
          <w:bCs/>
        </w:rPr>
        <w:t>/0</w:t>
      </w:r>
      <w:r w:rsidR="00EA5996">
        <w:rPr>
          <w:bCs/>
        </w:rPr>
        <w:t>0</w:t>
      </w:r>
      <w:r w:rsidRPr="00771AC2">
        <w:rPr>
          <w:bCs/>
        </w:rPr>
        <w:t>9</w:t>
      </w:r>
      <w:r w:rsidR="00EA5996">
        <w:rPr>
          <w:bCs/>
        </w:rPr>
        <w:t>8</w:t>
      </w:r>
      <w:r w:rsidRPr="00771AC2">
        <w:rPr>
          <w:bCs/>
        </w:rPr>
        <w:t xml:space="preserve">, de fecha </w:t>
      </w:r>
      <w:r w:rsidR="00EA5996">
        <w:rPr>
          <w:bCs/>
        </w:rPr>
        <w:t>22</w:t>
      </w:r>
      <w:r w:rsidRPr="00771AC2">
        <w:rPr>
          <w:bCs/>
        </w:rPr>
        <w:t xml:space="preserve"> de </w:t>
      </w:r>
      <w:r w:rsidR="00EA5996">
        <w:rPr>
          <w:bCs/>
        </w:rPr>
        <w:t>enero</w:t>
      </w:r>
      <w:r w:rsidRPr="00771AC2">
        <w:rPr>
          <w:bCs/>
        </w:rPr>
        <w:t xml:space="preserve"> de 2016, difundido por la Dirección de Finanzas</w:t>
      </w:r>
      <w:r w:rsidR="00713045" w:rsidRPr="00FE0B7A">
        <w:rPr>
          <w:bCs/>
        </w:rPr>
        <w:t>.</w:t>
      </w:r>
    </w:p>
    <w:p w:rsidR="00097F21" w:rsidRPr="00FE0B7A" w:rsidRDefault="00097F21" w:rsidP="00097F21">
      <w:pPr>
        <w:widowControl w:val="0"/>
        <w:suppressAutoHyphens w:val="0"/>
        <w:autoSpaceDE/>
        <w:autoSpaceDN w:val="0"/>
        <w:spacing w:before="240"/>
        <w:ind w:left="710"/>
        <w:rPr>
          <w:bCs/>
        </w:rPr>
      </w:pPr>
      <w:r>
        <w:rPr>
          <w:bCs/>
        </w:rPr>
        <w:t xml:space="preserve">Los recursos para el primer ejercicio fiscal son de </w:t>
      </w:r>
      <w:r>
        <w:rPr>
          <w:b/>
          <w:color w:val="0070C0"/>
        </w:rPr>
        <w:t>$</w:t>
      </w:r>
      <w:r w:rsidRPr="004050F9">
        <w:rPr>
          <w:b/>
          <w:color w:val="0070C0"/>
        </w:rPr>
        <w:t>6,179,194.07</w:t>
      </w:r>
      <w:r>
        <w:rPr>
          <w:b/>
          <w:color w:val="0070C0"/>
        </w:rPr>
        <w:t xml:space="preserve"> (SEIS MILLONES CIENTO SETENTA Y NUEVE MIL CIENTO NOVENTA Y CUATRO PESOS 07/100 M.N.)</w:t>
      </w:r>
      <w:r>
        <w:rPr>
          <w:bCs/>
        </w:rPr>
        <w:t>, sin IVA, im</w:t>
      </w:r>
      <w:bookmarkStart w:id="0" w:name="_GoBack"/>
      <w:bookmarkEnd w:id="0"/>
      <w:r>
        <w:rPr>
          <w:bCs/>
        </w:rPr>
        <w:t>porte que deberá tomar en cuenta el licitante, en la elaboración de su proposición.</w:t>
      </w:r>
    </w:p>
    <w:p w:rsidR="00097F21" w:rsidRDefault="00097F21" w:rsidP="00845F7F">
      <w:pPr>
        <w:widowControl w:val="0"/>
        <w:suppressAutoHyphens w:val="0"/>
        <w:autoSpaceDE/>
        <w:spacing w:before="120"/>
        <w:ind w:left="709"/>
        <w:rPr>
          <w:bCs/>
        </w:rPr>
      </w:pP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 xml:space="preserve">en cuyo caso el importe de la remuneración o pago total que deba cubrirse al contratista se hará por unidad de concepto de </w:t>
      </w:r>
      <w:r w:rsidRPr="004F59EE">
        <w:lastRenderedPageBreak/>
        <w:t>trabajo terminado</w:t>
      </w:r>
      <w:r w:rsidRPr="001D6815">
        <w:t>.</w:t>
      </w:r>
    </w:p>
    <w:p w:rsidR="00343FFF" w:rsidRDefault="00343FFF" w:rsidP="00713045">
      <w:pPr>
        <w:pStyle w:val="Sangra2detindependiente1"/>
        <w:widowControl w:val="0"/>
        <w:suppressAutoHyphens w:val="0"/>
        <w:spacing w:before="120"/>
        <w:ind w:left="710"/>
      </w:pP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w:t>
      </w:r>
      <w:r w:rsidR="00BC5C62">
        <w:rPr>
          <w:bCs/>
        </w:rPr>
        <w:t>c</w:t>
      </w:r>
      <w:r w:rsidRPr="00FE0B7A">
        <w:rPr>
          <w:bCs/>
        </w:rPr>
        <w:t xml:space="preserve">oncretos, </w:t>
      </w:r>
      <w:r w:rsidR="00BC5C62">
        <w:rPr>
          <w:bCs/>
        </w:rPr>
        <w:t>c</w:t>
      </w:r>
      <w:r w:rsidRPr="00FE0B7A">
        <w:rPr>
          <w:bCs/>
        </w:rPr>
        <w:t xml:space="preserve">ompactaciones, </w:t>
      </w:r>
      <w:r w:rsidR="00BC5C62">
        <w:rPr>
          <w:bCs/>
        </w:rPr>
        <w:t>s</w:t>
      </w:r>
      <w:r w:rsidRPr="00FE0B7A">
        <w:rPr>
          <w:bCs/>
        </w:rPr>
        <w:t xml:space="preserve">oldaduras y </w:t>
      </w:r>
      <w:r w:rsidR="00BC5C62">
        <w:rPr>
          <w:bCs/>
        </w:rPr>
        <w:t>a</w:t>
      </w:r>
      <w:r w:rsidRPr="00FE0B7A">
        <w:rPr>
          <w:bCs/>
        </w:rPr>
        <w:t>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4036DC" w:rsidP="009F7389">
      <w:pPr>
        <w:numPr>
          <w:ilvl w:val="0"/>
          <w:numId w:val="45"/>
        </w:numPr>
        <w:spacing w:before="120"/>
        <w:ind w:left="1134" w:hanging="425"/>
        <w:rPr>
          <w:bCs/>
        </w:rPr>
      </w:pPr>
      <w:r>
        <w:rPr>
          <w:bCs/>
        </w:rPr>
        <w:lastRenderedPageBreak/>
        <w:t>Planos</w:t>
      </w:r>
      <w:r w:rsidR="00A33D49" w:rsidRPr="009F7389">
        <w:rPr>
          <w:bCs/>
        </w:rPr>
        <w:t>.</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3C17DE">
        <w:rPr>
          <w:bCs/>
        </w:rPr>
        <w:t xml:space="preserve">día </w:t>
      </w:r>
      <w:r w:rsidR="00DB58DF">
        <w:rPr>
          <w:b/>
          <w:bCs/>
          <w:color w:val="0070C0"/>
        </w:rPr>
        <w:t>14</w:t>
      </w:r>
      <w:r w:rsidR="00A26C54">
        <w:rPr>
          <w:b/>
          <w:bCs/>
          <w:color w:val="0070C0"/>
        </w:rPr>
        <w:t xml:space="preserve"> de </w:t>
      </w:r>
      <w:r w:rsidR="00DB58DF">
        <w:rPr>
          <w:b/>
          <w:bCs/>
          <w:color w:val="0070C0"/>
        </w:rPr>
        <w:t>octubre</w:t>
      </w:r>
      <w:r w:rsidR="00A26C54">
        <w:rPr>
          <w:b/>
          <w:bCs/>
          <w:color w:val="0070C0"/>
        </w:rPr>
        <w:t xml:space="preserve"> de 2016</w:t>
      </w:r>
      <w:r w:rsidRPr="00A26C54">
        <w:rPr>
          <w:b/>
          <w:bCs/>
          <w:color w:val="0070C0"/>
        </w:rPr>
        <w:t>;</w:t>
      </w:r>
      <w:r w:rsidRPr="00FE0B7A">
        <w:rPr>
          <w:b/>
          <w:color w:val="0070C0"/>
        </w:rPr>
        <w:t xml:space="preserve"> a las </w:t>
      </w:r>
      <w:r w:rsidR="00DB58DF">
        <w:rPr>
          <w:b/>
          <w:color w:val="0070C0"/>
        </w:rPr>
        <w:t>1</w:t>
      </w:r>
      <w:r w:rsidR="008310E8">
        <w:rPr>
          <w:b/>
          <w:color w:val="0070C0"/>
        </w:rPr>
        <w:t>1</w:t>
      </w:r>
      <w:r w:rsidR="00DB58DF">
        <w:rPr>
          <w:b/>
          <w:color w:val="0070C0"/>
        </w:rPr>
        <w:t>:00</w:t>
      </w:r>
      <w:r w:rsidRPr="00FE0B7A">
        <w:rPr>
          <w:b/>
          <w:color w:val="0070C0"/>
        </w:rPr>
        <w:t xml:space="preserve"> horas</w:t>
      </w:r>
      <w:r w:rsidRPr="00FE0B7A">
        <w:rPr>
          <w:b/>
          <w:bCs/>
          <w:color w:val="0070C0"/>
        </w:rPr>
        <w:t xml:space="preserve">, </w:t>
      </w:r>
      <w:r w:rsidRPr="00F57B41">
        <w:t xml:space="preserve">en la </w:t>
      </w:r>
      <w:r w:rsidRPr="00F57B41">
        <w:rPr>
          <w:bCs/>
        </w:rPr>
        <w:t>Sala de Juntas de la Coordinación Técnica de Proyectos y Construcción de Inmuebles, ubic</w:t>
      </w:r>
      <w:r w:rsidR="008310E8">
        <w:rPr>
          <w:bCs/>
        </w:rPr>
        <w:t>ada en calle Durango No. 291, 3er</w:t>
      </w:r>
      <w:r w:rsidRPr="00F57B41">
        <w:rPr>
          <w:bCs/>
        </w:rPr>
        <w:t xml:space="preserve">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 xml:space="preserve">Los licitantes que intervengan en el acto de presentación y apertura de proposiciones, bastará que presente un escrito en el que su firmante </w:t>
      </w:r>
      <w:r w:rsidRPr="001D6815">
        <w:rPr>
          <w:bCs/>
        </w:rPr>
        <w:lastRenderedPageBreak/>
        <w:t>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w:t>
      </w:r>
      <w:r w:rsidRPr="001D6815">
        <w:rPr>
          <w:bCs/>
        </w:rPr>
        <w:lastRenderedPageBreak/>
        <w:t xml:space="preserve">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w:t>
      </w:r>
      <w:r w:rsidR="00343FFF">
        <w:rPr>
          <w:b/>
        </w:rPr>
        <w:t xml:space="preserve">9 </w:t>
      </w:r>
      <w:r w:rsidRPr="002815CF">
        <w:t>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lastRenderedPageBreak/>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3C17DE" w:rsidRPr="003C17DE">
        <w:rPr>
          <w:b/>
          <w:color w:val="0070C0"/>
        </w:rPr>
        <w:t>7</w:t>
      </w:r>
      <w:r w:rsidR="00A26C54">
        <w:rPr>
          <w:b/>
          <w:color w:val="0070C0"/>
        </w:rPr>
        <w:t xml:space="preserve"> de </w:t>
      </w:r>
      <w:r w:rsidR="00DB58DF">
        <w:rPr>
          <w:b/>
          <w:color w:val="0070C0"/>
        </w:rPr>
        <w:t>noviembre</w:t>
      </w:r>
      <w:r w:rsidR="00A26C54">
        <w:rPr>
          <w:b/>
          <w:color w:val="0070C0"/>
        </w:rPr>
        <w:t xml:space="preserve"> de 2016</w:t>
      </w:r>
      <w:r w:rsidRPr="00B32508">
        <w:rPr>
          <w:b/>
          <w:color w:val="0070C0"/>
        </w:rPr>
        <w:t xml:space="preserve">; a las </w:t>
      </w:r>
      <w:r w:rsidR="003C17DE">
        <w:rPr>
          <w:b/>
          <w:color w:val="0070C0"/>
        </w:rPr>
        <w:t>11</w:t>
      </w:r>
      <w:r w:rsidR="00DB58DF">
        <w:rPr>
          <w:b/>
          <w:color w:val="0070C0"/>
        </w:rPr>
        <w:t>:00</w:t>
      </w:r>
      <w:r w:rsidRPr="00B32508">
        <w:rPr>
          <w:b/>
          <w:color w:val="0070C0"/>
        </w:rPr>
        <w:t xml:space="preserve"> horas,</w:t>
      </w:r>
      <w:r w:rsidRPr="00B32508">
        <w:rPr>
          <w:bCs/>
        </w:rPr>
        <w:t xml:space="preserve"> En la Sala de Juntas de la </w:t>
      </w:r>
      <w:r w:rsidRPr="00F57B41">
        <w:rPr>
          <w:bCs/>
        </w:rPr>
        <w:t>Coordinación Técnica de Proyectos y Construcción de Inmuebles, ubicada en calle Durango No. 291, 3</w:t>
      </w:r>
      <w:r w:rsidR="003C17DE">
        <w:rPr>
          <w:bCs/>
        </w:rPr>
        <w:t>er</w:t>
      </w:r>
      <w:r w:rsidRPr="00F57B41">
        <w:rPr>
          <w:bCs/>
        </w:rPr>
        <w:t xml:space="preserve"> Piso, Colonia Roma, Delegación Cuauhtémoc, Código Postal 06700,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 xml:space="preserve">Los licitantes que no hayan asistido y los que participen utilizando medios remotos de comunicación electrónica, se les enviará por correo electrónico un aviso, informándoles que el acta de fallo se encuentra a su disposición </w:t>
      </w:r>
      <w:r w:rsidRPr="001D6815">
        <w:rPr>
          <w:bCs/>
          <w:iCs/>
        </w:rPr>
        <w:lastRenderedPageBreak/>
        <w:t>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Default="00713045" w:rsidP="00713045">
      <w:pPr>
        <w:spacing w:before="120"/>
        <w:ind w:left="1560"/>
      </w:pPr>
      <w:r w:rsidRPr="001D6815">
        <w:t xml:space="preserve">Mediante escrito, en el que el firmante, representante legal de la persona moral manifieste bajo protesta de decir verdad, que los datos de la razón </w:t>
      </w:r>
      <w:r w:rsidRPr="001D6815">
        <w:lastRenderedPageBreak/>
        <w:t>social que representa acreditan la existencia legal de ésta y, que cuenta con facultades suficientes para comprometerse por sí o por su representada, el cual deberá contener los datos siguientes:</w:t>
      </w:r>
    </w:p>
    <w:p w:rsidR="00343FFF" w:rsidRPr="001D6815" w:rsidRDefault="00343FFF" w:rsidP="00713045">
      <w:pPr>
        <w:spacing w:before="120"/>
        <w:ind w:left="1560"/>
      </w:pP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343FFF" w:rsidRDefault="00713045" w:rsidP="00713045">
      <w:pPr>
        <w:spacing w:before="120"/>
        <w:ind w:left="2127"/>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r w:rsidRPr="00343FFF">
        <w:t>.</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64044" w:rsidRPr="00764044" w:rsidRDefault="00764044" w:rsidP="00764044">
      <w:pPr>
        <w:spacing w:before="120"/>
        <w:ind w:left="851"/>
        <w:rPr>
          <w:rFonts w:eastAsia="Calibri"/>
          <w:lang w:eastAsia="en-US"/>
        </w:rPr>
      </w:pPr>
      <w:r w:rsidRPr="00764044">
        <w:rPr>
          <w:rFonts w:eastAsia="Calibri"/>
          <w:lang w:eastAsia="en-US"/>
        </w:rPr>
        <w:t>Los licitantes deberán acreditar experiencia en trabajos relativos a la  construcción de Unidades Médicas de características, complejidad y magnitud equivalentes o superiores a la del objeto de la presente licitación, considerando para efectos de evaluación un máximo de 5 años o un mínimo de 2 años, así como un máximo de 4 Contratos cumplidos y un mínimo de 2 en los 10 años anteriores a la fecha de la presentación de las proposiciones.</w:t>
      </w:r>
    </w:p>
    <w:p w:rsidR="00713045" w:rsidRPr="0041114E" w:rsidRDefault="00764044" w:rsidP="00764044">
      <w:pPr>
        <w:spacing w:before="120"/>
        <w:ind w:left="851"/>
        <w:rPr>
          <w:rFonts w:eastAsia="Calibri"/>
          <w:lang w:eastAsia="en-US"/>
        </w:rPr>
      </w:pPr>
      <w:r w:rsidRPr="00764044">
        <w:rPr>
          <w:rFonts w:eastAsia="Calibri"/>
          <w:lang w:eastAsia="en-US"/>
        </w:rPr>
        <w:t>Para efectos de acreditar en lo relativo a las características, complejidad y magnitud similares, se atenderá a lo siguiente:</w:t>
      </w:r>
    </w:p>
    <w:p w:rsidR="00713045" w:rsidRPr="00B2572B" w:rsidRDefault="00713045" w:rsidP="00713045">
      <w:pPr>
        <w:spacing w:before="120"/>
        <w:ind w:left="851"/>
        <w:rPr>
          <w:b/>
          <w:bCs/>
        </w:rPr>
      </w:pPr>
      <w:r w:rsidRPr="00B2572B">
        <w:rPr>
          <w:b/>
          <w:bCs/>
        </w:rPr>
        <w:t>Características:</w:t>
      </w:r>
    </w:p>
    <w:p w:rsidR="00764044" w:rsidRPr="00764044" w:rsidRDefault="00764044" w:rsidP="00764044">
      <w:pPr>
        <w:spacing w:before="120"/>
        <w:ind w:left="851"/>
        <w:rPr>
          <w:bCs/>
        </w:rPr>
      </w:pPr>
      <w:r w:rsidRPr="00764044">
        <w:rPr>
          <w:bCs/>
        </w:rPr>
        <w:t xml:space="preserve">Haber realizado trabajos de construcción ampliación, remodelación o adecuación de Unidades Hospitalarias con capacidad física similar a la de la presente licitación y/o de Hospitales tanto en el sector público como en el ámbito privado, </w:t>
      </w:r>
      <w:r w:rsidRPr="00764044">
        <w:rPr>
          <w:bCs/>
        </w:rPr>
        <w:lastRenderedPageBreak/>
        <w:t>bajo la modalidad de precio unitario y tiempo determinado u obras cuyas instalaciones sean comparables a los trabajos, objeto de la presente licitación.</w:t>
      </w:r>
    </w:p>
    <w:p w:rsidR="00764044" w:rsidRPr="00764044" w:rsidRDefault="00764044" w:rsidP="00764044">
      <w:pPr>
        <w:spacing w:before="120"/>
        <w:ind w:left="851"/>
        <w:rPr>
          <w:bCs/>
        </w:rPr>
      </w:pPr>
      <w:r w:rsidRPr="00764044">
        <w:rPr>
          <w:bCs/>
        </w:rPr>
        <w:t>Los trabajos de ampliación y remodelación contempla llevar a cabo la reubicación de los quirófanos: Construcción de 5 nuevos quirófanos en el segundo nivel del cuerpo "D", que reemplazarán a los actuales ubicados en el tercer piso. Serán 4 quirófanos convencionales y una sala híbrida para la realización de intervenciones conjuntas tanto del grupo quirúrgico como del intervencionista. Remodelación del área de Terapia Postquirúrgica Cardiovascular 1 ubicadas en el segundo piso del cuerpo "O": Se tendrán 8 cubículos aislados que contarán con instalaciones correspondientes a terapia intensiva, incluyendo servicios de apoyo. Construcción del cubo del elevador e instalación del equipo: Elevador de comunicación vertical entre ambas terapias (Cardiovascular 1 y Cardiovascular 11) para traslado de pacientes y transportación vertical en todo el cuerpo. Construcción de un puente de intercomunicación en el 2do nivel del cuerpo "O" al 3er nivel del cuerpo "C".</w:t>
      </w:r>
    </w:p>
    <w:p w:rsidR="00F238A7" w:rsidRPr="006712D9" w:rsidRDefault="00764044" w:rsidP="00764044">
      <w:pPr>
        <w:spacing w:before="120"/>
        <w:ind w:left="851"/>
        <w:rPr>
          <w:bCs/>
        </w:rPr>
      </w:pPr>
      <w:r w:rsidRPr="00764044">
        <w:rPr>
          <w:bCs/>
        </w:rPr>
        <w:t>Asimismo, se contempla la remodelación del tercer piso del cuerpo "O": Desmantelamiento de los actuales quirófanos y construcción de 18 cubículos individuales de Terapia Intensiva Postquirúrgica (Cardiovascular 11) para completar junto con las del segundo piso 26 camas y sus servicios de apoyo.</w:t>
      </w:r>
    </w:p>
    <w:p w:rsidR="00713045" w:rsidRPr="005B5609" w:rsidRDefault="00713045" w:rsidP="00713045">
      <w:pPr>
        <w:spacing w:before="120"/>
        <w:ind w:left="851"/>
        <w:rPr>
          <w:b/>
          <w:bCs/>
        </w:rPr>
      </w:pPr>
      <w:r w:rsidRPr="005B5609">
        <w:rPr>
          <w:b/>
          <w:bCs/>
        </w:rPr>
        <w:t>Complejidad de la Obra:</w:t>
      </w:r>
    </w:p>
    <w:p w:rsidR="00764044" w:rsidRDefault="00764044" w:rsidP="00713045">
      <w:pPr>
        <w:spacing w:before="120"/>
        <w:ind w:left="851"/>
        <w:rPr>
          <w:bCs/>
        </w:rPr>
      </w:pPr>
      <w:r w:rsidRPr="00764044">
        <w:rPr>
          <w:bCs/>
        </w:rPr>
        <w:t>Haber realizado trabajos de construcción, ampliación, remodelación, adecuación de Unidades Hospitalarias, con capacidad física similar a la de la presente licitación tanto en el sector público como en el ámbito privado, que requieren trabajos de ingeniería especializada como la instalación de gases medicinales, sistemas de aire acondicionado, preparación de instalaciones para el equipo médico, sistema constructivo 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p>
    <w:p w:rsidR="00713045" w:rsidRPr="002A0FBB" w:rsidRDefault="00713045" w:rsidP="00713045">
      <w:pPr>
        <w:spacing w:before="120"/>
        <w:ind w:left="851"/>
        <w:rPr>
          <w:b/>
          <w:bCs/>
        </w:rPr>
      </w:pPr>
      <w:r w:rsidRPr="002A0FBB">
        <w:rPr>
          <w:b/>
          <w:bCs/>
        </w:rPr>
        <w:t>Magnitud:</w:t>
      </w:r>
    </w:p>
    <w:p w:rsidR="00764044" w:rsidRPr="00776693" w:rsidRDefault="00764044" w:rsidP="00764044">
      <w:pPr>
        <w:spacing w:before="120"/>
        <w:ind w:left="851"/>
        <w:rPr>
          <w:bCs/>
        </w:rPr>
      </w:pPr>
      <w:r w:rsidRPr="00776693">
        <w:rPr>
          <w:bCs/>
        </w:rPr>
        <w:t>Los licitantes deberán acreditar mediante la copia de los contratos respectivos,</w:t>
      </w:r>
      <w:r>
        <w:rPr>
          <w:bCs/>
        </w:rPr>
        <w:t xml:space="preserve"> </w:t>
      </w:r>
      <w:r w:rsidRPr="00776693">
        <w:rPr>
          <w:bCs/>
        </w:rPr>
        <w:t>haber realizado ampliaciones y remodelaciones de Unidades hospitalarias con las siguientes</w:t>
      </w:r>
      <w:r>
        <w:rPr>
          <w:bCs/>
        </w:rPr>
        <w:t xml:space="preserve"> </w:t>
      </w:r>
      <w:r w:rsidRPr="00776693">
        <w:rPr>
          <w:bCs/>
        </w:rPr>
        <w:t>superficies estimadas o superiores (se considerará el total de m</w:t>
      </w:r>
      <w:r>
        <w:rPr>
          <w:bCs/>
        </w:rPr>
        <w:t>²</w:t>
      </w:r>
      <w:r w:rsidRPr="00776693">
        <w:rPr>
          <w:bCs/>
        </w:rPr>
        <w:t xml:space="preserve"> de superficie construida o</w:t>
      </w:r>
      <w:r>
        <w:rPr>
          <w:bCs/>
        </w:rPr>
        <w:t xml:space="preserve"> </w:t>
      </w:r>
      <w:r w:rsidRPr="00776693">
        <w:rPr>
          <w:bCs/>
        </w:rPr>
        <w:t>remodelada)</w:t>
      </w:r>
      <w:r>
        <w:rPr>
          <w:bCs/>
        </w:rPr>
        <w:t>.</w:t>
      </w:r>
    </w:p>
    <w:p w:rsidR="00764044" w:rsidRPr="00776693" w:rsidRDefault="00764044" w:rsidP="00764044">
      <w:pPr>
        <w:spacing w:before="120"/>
        <w:ind w:left="3828"/>
        <w:jc w:val="left"/>
        <w:rPr>
          <w:bCs/>
        </w:rPr>
      </w:pPr>
      <w:r>
        <w:rPr>
          <w:bCs/>
        </w:rPr>
        <w:t>Ampliación: 80 m²</w:t>
      </w:r>
    </w:p>
    <w:p w:rsidR="00764044" w:rsidRPr="00776693" w:rsidRDefault="00764044" w:rsidP="00764044">
      <w:pPr>
        <w:spacing w:before="120"/>
        <w:ind w:left="3828"/>
        <w:jc w:val="left"/>
        <w:rPr>
          <w:bCs/>
        </w:rPr>
      </w:pPr>
      <w:r>
        <w:rPr>
          <w:bCs/>
        </w:rPr>
        <w:t>Remodelación: 3,918 m²</w:t>
      </w:r>
    </w:p>
    <w:p w:rsidR="00764044" w:rsidRDefault="00764044" w:rsidP="00764044">
      <w:pPr>
        <w:spacing w:before="120"/>
        <w:ind w:left="3828"/>
        <w:jc w:val="left"/>
        <w:rPr>
          <w:bCs/>
        </w:rPr>
      </w:pPr>
      <w:r>
        <w:rPr>
          <w:bCs/>
        </w:rPr>
        <w:t>Total: 3,998 m²</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 xml:space="preserve">Mediante la valoración de los profesionales técnicos que se encargarán de la administración de los trabajos, en la que se tomará en cuenta el grado académico </w:t>
      </w:r>
      <w:r w:rsidRPr="003218DD">
        <w:rPr>
          <w:bCs/>
        </w:rPr>
        <w:lastRenderedPageBreak/>
        <w:t>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DB58DF">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4,</w:t>
      </w:r>
      <w:r w:rsidR="008D7951">
        <w:rPr>
          <w:spacing w:val="0"/>
        </w:rPr>
        <w:t xml:space="preserve"> 4A, 5, </w:t>
      </w:r>
      <w:r w:rsidRPr="00090044">
        <w:rPr>
          <w:spacing w:val="0"/>
        </w:rPr>
        <w:t>8,</w:t>
      </w:r>
      <w:r w:rsidR="008D7951">
        <w:rPr>
          <w:spacing w:val="0"/>
        </w:rPr>
        <w:t xml:space="preserve"> </w:t>
      </w:r>
      <w:r w:rsidRPr="00090044">
        <w:rPr>
          <w:spacing w:val="0"/>
        </w:rPr>
        <w:t>9,</w:t>
      </w:r>
      <w:r w:rsidR="008D7951">
        <w:rPr>
          <w:spacing w:val="0"/>
        </w:rPr>
        <w:t xml:space="preserve"> </w:t>
      </w:r>
      <w:r w:rsidRPr="00090044">
        <w:rPr>
          <w:spacing w:val="0"/>
        </w:rPr>
        <w:t>10,</w:t>
      </w:r>
      <w:r w:rsidR="008D7951">
        <w:rPr>
          <w:spacing w:val="0"/>
        </w:rPr>
        <w:t xml:space="preserve"> </w:t>
      </w:r>
      <w:r w:rsidRPr="00090044">
        <w:rPr>
          <w:spacing w:val="0"/>
        </w:rPr>
        <w:t>11,</w:t>
      </w:r>
      <w:r w:rsidR="008D7951">
        <w:rPr>
          <w:spacing w:val="0"/>
        </w:rPr>
        <w:t xml:space="preserve"> </w:t>
      </w:r>
      <w:r w:rsidRPr="00090044">
        <w:rPr>
          <w:spacing w:val="0"/>
        </w:rPr>
        <w:t>12,</w:t>
      </w:r>
      <w:r w:rsidR="008D7951">
        <w:rPr>
          <w:spacing w:val="0"/>
        </w:rPr>
        <w:t xml:space="preserve"> </w:t>
      </w:r>
      <w:r w:rsidRPr="00090044">
        <w:rPr>
          <w:spacing w:val="0"/>
        </w:rPr>
        <w:t>13,</w:t>
      </w:r>
      <w:r w:rsidR="008D7951">
        <w:rPr>
          <w:spacing w:val="0"/>
        </w:rPr>
        <w:t xml:space="preserve"> </w:t>
      </w:r>
      <w:r w:rsidRPr="00090044">
        <w:rPr>
          <w:spacing w:val="0"/>
        </w:rPr>
        <w:t>14,</w:t>
      </w:r>
      <w:r w:rsidR="008D7951">
        <w:rPr>
          <w:spacing w:val="0"/>
        </w:rPr>
        <w:t xml:space="preserve"> </w:t>
      </w:r>
      <w:r w:rsidRPr="00090044">
        <w:rPr>
          <w:spacing w:val="0"/>
        </w:rPr>
        <w:t>15,</w:t>
      </w:r>
      <w:r w:rsidR="008D7951">
        <w:rPr>
          <w:spacing w:val="0"/>
        </w:rPr>
        <w:t xml:space="preserve"> </w:t>
      </w:r>
      <w:r w:rsidRPr="00090044">
        <w:rPr>
          <w:spacing w:val="0"/>
        </w:rPr>
        <w:t>16,</w:t>
      </w:r>
      <w:r w:rsidR="008D7951">
        <w:rPr>
          <w:spacing w:val="0"/>
        </w:rPr>
        <w:t xml:space="preserve"> </w:t>
      </w:r>
      <w:r w:rsidRPr="00090044">
        <w:rPr>
          <w:spacing w:val="0"/>
        </w:rPr>
        <w:t>17,</w:t>
      </w:r>
      <w:r w:rsidR="008D7951">
        <w:rPr>
          <w:spacing w:val="0"/>
        </w:rPr>
        <w:t xml:space="preserve"> </w:t>
      </w:r>
      <w:r>
        <w:rPr>
          <w:spacing w:val="0"/>
        </w:rPr>
        <w:t>18</w:t>
      </w:r>
      <w:r w:rsidR="008D7951">
        <w:rPr>
          <w:spacing w:val="0"/>
        </w:rPr>
        <w:t xml:space="preserve">, </w:t>
      </w:r>
      <w:r w:rsidR="007C77D9">
        <w:rPr>
          <w:spacing w:val="0"/>
        </w:rPr>
        <w:t xml:space="preserve">19, </w:t>
      </w:r>
      <w:r w:rsidR="008D7951">
        <w:rPr>
          <w:spacing w:val="0"/>
        </w:rPr>
        <w:t xml:space="preserve">20, 21, 22, 23 y </w:t>
      </w:r>
      <w:r w:rsidR="008D7951">
        <w:rPr>
          <w:spacing w:val="0"/>
        </w:rPr>
        <w:lastRenderedPageBreak/>
        <w:t xml:space="preserve">24 </w:t>
      </w:r>
      <w:r w:rsidRPr="00090044">
        <w:rPr>
          <w:spacing w:val="0"/>
        </w:rPr>
        <w:t>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w:t>
      </w:r>
      <w:r w:rsidRPr="001D6815">
        <w:rPr>
          <w:bCs/>
          <w:spacing w:val="0"/>
        </w:rPr>
        <w:lastRenderedPageBreak/>
        <w:t xml:space="preserve">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lastRenderedPageBreak/>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E823EF">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lastRenderedPageBreak/>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764044">
        <w:rPr>
          <w:b/>
          <w:color w:val="0070C0"/>
        </w:rPr>
        <w:t>“</w:t>
      </w:r>
      <w:r w:rsidR="00764044" w:rsidRPr="00764044">
        <w:rPr>
          <w:b/>
          <w:color w:val="0070C0"/>
        </w:rPr>
        <w:t>Ampliación y Remodelación de Quirófanos y Área de Terapia Intensiva Postquirúrgica del Hospital de Cardiología del Centro Médico Nacional Siglo XXI</w:t>
      </w:r>
      <w:r w:rsidR="00C7196F" w:rsidRPr="00764044">
        <w:rPr>
          <w:b/>
          <w:color w:val="0070C0"/>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lastRenderedPageBreak/>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764044" w:rsidRPr="00764044">
        <w:rPr>
          <w:b/>
          <w:color w:val="0070C0"/>
        </w:rPr>
        <w:t>“Ampliación y Remodelación de Quirófanos y Área de Terapia Intensiva Postquirúrgica del Hospital de Cardiología del Centro Médico Nacional Siglo XXI”</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lastRenderedPageBreak/>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764044" w:rsidRPr="00764044">
        <w:rPr>
          <w:b/>
          <w:color w:val="0070C0"/>
        </w:rPr>
        <w:t>“Ampliación y Remodelación de Quirófanos y Área de Terapia Intensiva Postquirúrgica del Hospital de Cardiología del Centro Médico Nacional Siglo XXI”</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 xml:space="preserve">propuesto cuenta con firma electrónica avanzada, debiendo anexar a la </w:t>
      </w:r>
      <w:r w:rsidRPr="001D6815">
        <w:lastRenderedPageBreak/>
        <w:t>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764044" w:rsidRPr="00764044">
        <w:rPr>
          <w:b/>
          <w:color w:val="0070C0"/>
        </w:rPr>
        <w:t>“Ampliación y Remodelación de Quirófanos y Área de Terapia Intensiva Postquirúrgica del Hospital de Cardiología del Centro Médico Nacional Siglo XXI”</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764044" w:rsidRPr="00764044">
        <w:rPr>
          <w:b/>
          <w:color w:val="0070C0"/>
        </w:rPr>
        <w:t>“Ampliación y Remodelación de Quirófanos y Área de Terapia Intensiva Postquirúrgica del Hospital de Cardiología del Centro Médico Nacional Siglo XXI”</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751365" w:rsidRPr="00751365">
        <w:t>Ampliación y Remodelación de Quirófanos y Área de Terapia Intensiva Postquirúrgica del Hospital de Cardiología del Centro Médico Nacional Siglo XXI</w:t>
      </w:r>
      <w:r w:rsidR="004446DB">
        <w:t>.</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w:t>
      </w:r>
      <w:proofErr w:type="spellStart"/>
      <w:r w:rsidRPr="001232AD">
        <w:t>Curriculum</w:t>
      </w:r>
      <w:proofErr w:type="spellEnd"/>
      <w:r w:rsidRPr="001232AD">
        <w:t xml:space="preserve">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lastRenderedPageBreak/>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sidR="00081BC8" w:rsidRPr="00764044">
        <w:rPr>
          <w:b/>
          <w:bCs/>
          <w:spacing w:val="0"/>
        </w:rPr>
        <w:t>30</w:t>
      </w:r>
      <w:r w:rsidRPr="00764044">
        <w:rPr>
          <w:b/>
          <w:bCs/>
          <w:spacing w:val="0"/>
        </w:rPr>
        <w:t>%</w:t>
      </w:r>
      <w:r w:rsidRPr="00FD2A12">
        <w:rPr>
          <w:bCs/>
          <w:spacing w:val="0"/>
        </w:rPr>
        <w:t>,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w:t>
      </w:r>
      <w:r w:rsidRPr="004360F0">
        <w:rPr>
          <w:bCs/>
        </w:rPr>
        <w:lastRenderedPageBreak/>
        <w:t xml:space="preserve">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lastRenderedPageBreak/>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lastRenderedPageBreak/>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lastRenderedPageBreak/>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DB58DF">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lastRenderedPageBreak/>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 xml:space="preserve">La valoración de los rubros y </w:t>
      </w:r>
      <w:proofErr w:type="spellStart"/>
      <w:r w:rsidRPr="00B714FA">
        <w:rPr>
          <w:rFonts w:ascii="Helvetica" w:hAnsi="Helvetica"/>
          <w:lang w:val="es-ES"/>
        </w:rPr>
        <w:t>subrubros</w:t>
      </w:r>
      <w:proofErr w:type="spellEnd"/>
      <w:r w:rsidRPr="00B714FA">
        <w:rPr>
          <w:rFonts w:ascii="Helvetica" w:hAnsi="Helvetica"/>
          <w:lang w:val="es-ES"/>
        </w:rPr>
        <w:t xml:space="preserve">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 xml:space="preserve">Bajo este contexto, los rubros y </w:t>
      </w:r>
      <w:proofErr w:type="spellStart"/>
      <w:r w:rsidRPr="00B714FA">
        <w:rPr>
          <w:rFonts w:ascii="Helvetica" w:hAnsi="Helvetica"/>
          <w:lang w:val="es-ES"/>
        </w:rPr>
        <w:t>subrubros</w:t>
      </w:r>
      <w:proofErr w:type="spellEnd"/>
      <w:r w:rsidRPr="00B714FA">
        <w:rPr>
          <w:rFonts w:ascii="Helvetica" w:hAnsi="Helvetica"/>
          <w:lang w:val="es-ES"/>
        </w:rPr>
        <w:t xml:space="preserve">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xml:space="preserve">, distribuidos en los siguientes </w:t>
      </w:r>
      <w:proofErr w:type="spellStart"/>
      <w:r w:rsidRPr="001D6815">
        <w:rPr>
          <w:lang w:eastAsia="es-ES"/>
        </w:rPr>
        <w:t>subrubros</w:t>
      </w:r>
      <w:proofErr w:type="spellEnd"/>
      <w:r w:rsidRPr="001D6815">
        <w:rPr>
          <w:lang w:eastAsia="es-ES"/>
        </w:rPr>
        <w:t>:</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lastRenderedPageBreak/>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r w:rsidR="00AC384F">
        <w:rPr>
          <w:lang w:val="es-ES_tradnl"/>
        </w:rPr>
        <w:t xml:space="preserve"> y manifieste </w:t>
      </w:r>
      <w:r w:rsidR="003170EA">
        <w:rPr>
          <w:lang w:val="es-ES_tradnl"/>
        </w:rPr>
        <w:t xml:space="preserve">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C51DF8">
        <w:rPr>
          <w:bCs/>
        </w:rPr>
        <w:t>30</w:t>
      </w:r>
      <w:r w:rsidR="003170EA" w:rsidRPr="00FD2A12">
        <w:rPr>
          <w:bCs/>
        </w:rPr>
        <w:t xml:space="preserve"> %</w:t>
      </w:r>
      <w:r w:rsidRPr="002815CF">
        <w:rPr>
          <w:lang w:val="es-ES_tradnl"/>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w:t>
      </w:r>
      <w:r w:rsidR="003170EA">
        <w:rPr>
          <w:lang w:val="es-ES_tradnl"/>
        </w:rPr>
        <w:t xml:space="preserve"> </w:t>
      </w:r>
      <w:r w:rsidR="003170EA" w:rsidRPr="002815CF">
        <w:rPr>
          <w:lang w:val="es-ES_tradnl"/>
        </w:rPr>
        <w:t>sustentable</w:t>
      </w:r>
      <w:r w:rsidR="003170EA">
        <w:rPr>
          <w:lang w:val="es-ES_tradnl"/>
        </w:rPr>
        <w:t>s</w:t>
      </w:r>
      <w:r w:rsidR="003170EA" w:rsidRPr="002815CF">
        <w:rPr>
          <w:lang w:val="es-ES_tradnl"/>
        </w:rPr>
        <w:t xml:space="preserve"> en los alcances de los conceptos del catálogo</w:t>
      </w:r>
      <w:r w:rsidR="003170EA">
        <w:rPr>
          <w:lang w:val="es-ES_tradnl"/>
        </w:rPr>
        <w:t xml:space="preserve"> y/o no manifieste 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655B98">
        <w:rPr>
          <w:bCs/>
        </w:rPr>
        <w:t>30</w:t>
      </w:r>
      <w:r w:rsidR="003170EA" w:rsidRPr="00FD2A12">
        <w:rPr>
          <w:bCs/>
        </w:rPr>
        <w:t xml:space="preserve"> %</w:t>
      </w:r>
      <w:r w:rsidR="003170EA" w:rsidRPr="002815CF">
        <w:rPr>
          <w:lang w:val="es-ES_tradnl"/>
        </w:rPr>
        <w:t>;</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 xml:space="preserve">de mano de obra, de maquinaria y equipo de construcción, de los materiales y equipo de instalación permanente, de utilización del personal </w:t>
      </w:r>
      <w:r w:rsidRPr="002815CF">
        <w:rPr>
          <w:lang w:val="es-ES_tradnl"/>
        </w:rPr>
        <w:lastRenderedPageBreak/>
        <w:t>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xml:space="preserve">,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w:t>
      </w:r>
      <w:r w:rsidRPr="00F10C30">
        <w:rPr>
          <w:rFonts w:ascii="Helvetica" w:hAnsi="Helvetica"/>
        </w:rPr>
        <w:lastRenderedPageBreak/>
        <w:t>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w:t>
      </w:r>
      <w:proofErr w:type="spellStart"/>
      <w:r w:rsidRPr="00155279">
        <w:rPr>
          <w:rFonts w:ascii="Helvetica" w:hAnsi="Helvetica"/>
          <w:bCs/>
        </w:rPr>
        <w:t>subrubros</w:t>
      </w:r>
      <w:proofErr w:type="spellEnd"/>
      <w:r w:rsidRPr="00155279">
        <w:rPr>
          <w:rFonts w:ascii="Helvetica" w:hAnsi="Helvetica"/>
          <w:bCs/>
        </w:rPr>
        <w:t>:</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 xml:space="preserve">a los licitantes que acrediten, que el personal propuesto para dirigir y coordinar la ejecución de la obra, específicamente el </w:t>
      </w:r>
      <w:r w:rsidRPr="001D6815">
        <w:rPr>
          <w:rFonts w:cs="Arial"/>
          <w:sz w:val="22"/>
          <w:szCs w:val="22"/>
        </w:rPr>
        <w:lastRenderedPageBreak/>
        <w:t>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xml:space="preserve">, al licitante que acredite que el superintendente y al menos los residentes de las especialidades de obra civil e instalaciones o bien que en </w:t>
      </w:r>
      <w:r w:rsidRPr="002815CF">
        <w:rPr>
          <w:rFonts w:cs="Arial"/>
          <w:sz w:val="22"/>
          <w:szCs w:val="22"/>
        </w:rPr>
        <w:lastRenderedPageBreak/>
        <w:t>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lastRenderedPageBreak/>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lastRenderedPageBreak/>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 xml:space="preserve">conforme a las características, complejidad y magnitud de la obra, se distribuirá en los </w:t>
      </w:r>
      <w:proofErr w:type="spellStart"/>
      <w:r w:rsidRPr="001D6815">
        <w:rPr>
          <w:bCs/>
        </w:rPr>
        <w:t>subrubros</w:t>
      </w:r>
      <w:proofErr w:type="spellEnd"/>
      <w:r w:rsidRPr="001D6815">
        <w:rPr>
          <w:bCs/>
        </w:rPr>
        <w:t xml:space="preserve">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6A28FE">
        <w:rPr>
          <w:rFonts w:cs="Arial"/>
          <w:b/>
          <w:sz w:val="22"/>
          <w:szCs w:val="22"/>
        </w:rPr>
        <w:t>4</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lastRenderedPageBreak/>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B85995">
        <w:rPr>
          <w:rFonts w:cs="Arial"/>
          <w:sz w:val="22"/>
          <w:szCs w:val="22"/>
        </w:rPr>
        <w:t xml:space="preserve">En caso de que dos o más licitantes acrediten el máximo de </w:t>
      </w:r>
      <w:r w:rsidR="00B85995" w:rsidRPr="00B85995">
        <w:rPr>
          <w:rFonts w:cs="Arial"/>
          <w:b/>
          <w:sz w:val="22"/>
          <w:szCs w:val="22"/>
        </w:rPr>
        <w:t>4</w:t>
      </w:r>
      <w:r w:rsidRPr="00B85995">
        <w:rPr>
          <w:rFonts w:cs="Arial"/>
          <w:sz w:val="22"/>
          <w:szCs w:val="22"/>
          <w:lang w:val="es-MX"/>
        </w:rPr>
        <w:t xml:space="preserve"> contratos,</w:t>
      </w:r>
      <w:r w:rsidRPr="00B85995">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w:t>
      </w:r>
      <w:proofErr w:type="spellStart"/>
      <w:r w:rsidRPr="001D6815">
        <w:rPr>
          <w:lang w:val="es-ES"/>
        </w:rPr>
        <w:t>subrubros</w:t>
      </w:r>
      <w:proofErr w:type="spellEnd"/>
      <w:r w:rsidRPr="001D6815">
        <w:rPr>
          <w:lang w:val="es-ES"/>
        </w:rPr>
        <w:t xml:space="preserve">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lastRenderedPageBreak/>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 xml:space="preserve">programa de ejecución convenido conforme al catálogo de conceptos con sus </w:t>
      </w:r>
      <w:r w:rsidRPr="00561A84">
        <w:rPr>
          <w:rFonts w:cs="Arial"/>
          <w:bCs/>
          <w:sz w:val="22"/>
          <w:szCs w:val="22"/>
          <w:lang w:val="es-MX"/>
        </w:rPr>
        <w:lastRenderedPageBreak/>
        <w:t>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lastRenderedPageBreak/>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435C2C" w:rsidRPr="00435C2C" w:rsidRDefault="00435C2C" w:rsidP="00435C2C">
      <w:pPr>
        <w:widowControl w:val="0"/>
        <w:numPr>
          <w:ilvl w:val="2"/>
          <w:numId w:val="10"/>
        </w:numPr>
        <w:tabs>
          <w:tab w:val="num" w:pos="-4962"/>
        </w:tabs>
        <w:spacing w:before="120"/>
        <w:ind w:left="1701" w:hanging="709"/>
        <w:rPr>
          <w:bCs/>
          <w:lang w:val="es-ES"/>
        </w:rPr>
      </w:pPr>
      <w:r w:rsidRPr="0087617E">
        <w:rPr>
          <w:bCs/>
          <w:lang w:val="es-ES"/>
        </w:rPr>
        <w:t xml:space="preserve">Cuando </w:t>
      </w:r>
      <w:r w:rsidRPr="0011730B">
        <w:rPr>
          <w:bCs/>
          <w:lang w:val="es-ES"/>
        </w:rPr>
        <w:t>en las contrataciones de ejecución plurianual, la propuesta económica presentada por el licitante, rebase la asignación autorizada para el primer ejercicio presupuestal.</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 xml:space="preserve">El licitante haya omitido en su proposición dar cumplimiento a las indicaciones, aclaraciones, modificaciones a la convocatoria, así como a las respuestas derivadas de la(s) junta(s) de aclaración(es) que se </w:t>
      </w:r>
      <w:r w:rsidRPr="001D6815">
        <w:rPr>
          <w:bCs/>
          <w:lang w:val="es-ES"/>
        </w:rPr>
        <w:lastRenderedPageBreak/>
        <w:t>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lastRenderedPageBreak/>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155"/>
        <w:gridCol w:w="2454"/>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A777F4" w:rsidRPr="001D6815" w:rsidTr="007E7E25">
        <w:trPr>
          <w:trHeight w:val="399"/>
        </w:trPr>
        <w:tc>
          <w:tcPr>
            <w:tcW w:w="0" w:type="auto"/>
            <w:vAlign w:val="center"/>
          </w:tcPr>
          <w:p w:rsidR="00A777F4" w:rsidRPr="001D6815" w:rsidRDefault="00A777F4" w:rsidP="006712D9">
            <w:pPr>
              <w:suppressAutoHyphens w:val="0"/>
              <w:autoSpaceDE/>
              <w:ind w:left="0"/>
              <w:rPr>
                <w:lang w:val="es-ES" w:eastAsia="es-ES"/>
              </w:rPr>
            </w:pPr>
            <w:r w:rsidRPr="001D6815">
              <w:rPr>
                <w:lang w:val="es-ES" w:eastAsia="es-ES"/>
              </w:rPr>
              <w:t>Más de 50 millones y hasta 100 millones de pesos.</w:t>
            </w:r>
          </w:p>
        </w:tc>
        <w:tc>
          <w:tcPr>
            <w:tcW w:w="0" w:type="auto"/>
            <w:vAlign w:val="center"/>
          </w:tcPr>
          <w:p w:rsidR="00A777F4" w:rsidRPr="001D6815" w:rsidRDefault="00A777F4" w:rsidP="006712D9">
            <w:pPr>
              <w:tabs>
                <w:tab w:val="left" w:pos="1985"/>
                <w:tab w:val="left" w:pos="2552"/>
                <w:tab w:val="left" w:pos="9639"/>
              </w:tabs>
              <w:suppressAutoHyphens w:val="0"/>
              <w:autoSpaceDE/>
              <w:ind w:left="-108" w:right="-108"/>
              <w:jc w:val="center"/>
              <w:rPr>
                <w:lang w:val="es-ES" w:eastAsia="es-ES"/>
              </w:rPr>
            </w:pPr>
            <w:r w:rsidRPr="001D6815">
              <w:rPr>
                <w:lang w:val="es-ES" w:eastAsia="es-ES"/>
              </w:rPr>
              <w:t>10.0%</w:t>
            </w:r>
          </w:p>
        </w:tc>
        <w:tc>
          <w:tcPr>
            <w:tcW w:w="0" w:type="auto"/>
            <w:vAlign w:val="center"/>
          </w:tcPr>
          <w:p w:rsidR="00A777F4" w:rsidRPr="001D6815" w:rsidRDefault="00A777F4" w:rsidP="006712D9">
            <w:pPr>
              <w:suppressAutoHyphens w:val="0"/>
              <w:autoSpaceDE/>
              <w:ind w:left="0"/>
              <w:jc w:val="center"/>
              <w:rPr>
                <w:lang w:val="es-ES" w:eastAsia="es-ES"/>
              </w:rPr>
            </w:pPr>
            <w:r w:rsidRPr="001D6815">
              <w:rPr>
                <w:lang w:val="es-ES" w:eastAsia="es-ES"/>
              </w:rPr>
              <w:t>3 al millar</w:t>
            </w:r>
          </w:p>
        </w:tc>
      </w:tr>
    </w:tbl>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B85995">
        <w:rPr>
          <w:bCs/>
        </w:rPr>
        <w:t xml:space="preserve">día </w:t>
      </w:r>
      <w:r w:rsidR="00A368BA">
        <w:rPr>
          <w:b/>
          <w:color w:val="0070C0"/>
        </w:rPr>
        <w:t>2</w:t>
      </w:r>
      <w:r w:rsidR="00B85995">
        <w:rPr>
          <w:b/>
          <w:color w:val="0070C0"/>
        </w:rPr>
        <w:t>2</w:t>
      </w:r>
      <w:r w:rsidR="00A26C54">
        <w:rPr>
          <w:b/>
          <w:color w:val="0070C0"/>
        </w:rPr>
        <w:t xml:space="preserve"> de </w:t>
      </w:r>
      <w:r w:rsidR="00A368BA">
        <w:rPr>
          <w:b/>
          <w:color w:val="0070C0"/>
        </w:rPr>
        <w:t>noviembre</w:t>
      </w:r>
      <w:r w:rsidR="00A26C54">
        <w:rPr>
          <w:b/>
          <w:color w:val="0070C0"/>
        </w:rPr>
        <w:t xml:space="preserve"> de 2016</w:t>
      </w:r>
      <w:r w:rsidRPr="003218DD">
        <w:rPr>
          <w:b/>
          <w:color w:val="0070C0"/>
        </w:rPr>
        <w:t xml:space="preserve">; a las </w:t>
      </w:r>
      <w:r w:rsidR="00A368BA">
        <w:rPr>
          <w:b/>
          <w:color w:val="0070C0"/>
        </w:rPr>
        <w:t>1</w:t>
      </w:r>
      <w:r w:rsidR="00B85995">
        <w:rPr>
          <w:b/>
          <w:color w:val="0070C0"/>
        </w:rPr>
        <w:t>1</w:t>
      </w:r>
      <w:r w:rsidR="00A368BA">
        <w:rPr>
          <w:b/>
          <w:color w:val="0070C0"/>
        </w:rPr>
        <w:t>:00</w:t>
      </w:r>
      <w:r w:rsidRPr="003218DD">
        <w:rPr>
          <w:b/>
          <w:color w:val="0070C0"/>
        </w:rPr>
        <w:t xml:space="preserve"> horas,</w:t>
      </w:r>
      <w:r w:rsidRPr="004B692C">
        <w:rPr>
          <w:bCs/>
        </w:rPr>
        <w:t xml:space="preserve"> en </w:t>
      </w:r>
      <w:r w:rsidRPr="004B692C">
        <w:t>la</w:t>
      </w:r>
      <w:r w:rsidR="00B85995">
        <w:t xml:space="preserve"> Sala de Juntas de la </w:t>
      </w:r>
      <w:r w:rsidRPr="004B692C">
        <w:rPr>
          <w:lang w:val="es-ES_tradnl"/>
        </w:rPr>
        <w:t>División de Concursos y Contratos</w:t>
      </w:r>
      <w:r w:rsidRPr="004B692C">
        <w:t xml:space="preserve">, ubicadas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 xml:space="preserve">A efecto de cumplir con lo dispuesto por el artículo 32 D, del Código Fiscal de la Federación y a lo establecido en la regla 2.1.31 de la Resolución Miscelánea Fiscal para el 2016, o aquélla que en el futuro la sustituya, cuando el monto de la </w:t>
      </w:r>
      <w:r w:rsidRPr="00062314">
        <w:rPr>
          <w:bCs/>
        </w:rPr>
        <w:lastRenderedPageBreak/>
        <w:t>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391150" w:rsidRPr="00932511" w:rsidRDefault="00391150"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391150" w:rsidRPr="00932511" w:rsidRDefault="00391150"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391150" w:rsidRPr="00932511" w:rsidRDefault="00391150"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391150" w:rsidRPr="00932511" w:rsidRDefault="00391150"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 xml:space="preserve">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w:t>
      </w:r>
      <w:r w:rsidRPr="00062314">
        <w:lastRenderedPageBreak/>
        <w:t>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Default="00062314" w:rsidP="00062314">
      <w:pPr>
        <w:numPr>
          <w:ilvl w:val="0"/>
          <w:numId w:val="8"/>
        </w:numPr>
        <w:spacing w:before="120"/>
        <w:ind w:left="1418" w:hanging="567"/>
      </w:pPr>
      <w:r w:rsidRPr="00062314">
        <w:lastRenderedPageBreak/>
        <w:t>Tratándose de las proposiciones conjuntas previstas en el artículo 36, de la Ley, las personas con quien se vaya a celebrar el contrato, deberán presentar de Obligaciones en materia de Seguridad Social, por cada uno de los obligados en dicha proposición.</w:t>
      </w:r>
    </w:p>
    <w:p w:rsidR="008D50C3" w:rsidRPr="00602A7B" w:rsidRDefault="008D50C3" w:rsidP="008D50C3">
      <w:pPr>
        <w:numPr>
          <w:ilvl w:val="0"/>
          <w:numId w:val="46"/>
        </w:numPr>
        <w:spacing w:before="120"/>
        <w:ind w:left="1418" w:hanging="567"/>
        <w:rPr>
          <w:bCs/>
        </w:rPr>
      </w:pPr>
      <w:r w:rsidRPr="00602A7B">
        <w:rPr>
          <w:bCs/>
        </w:rPr>
        <w:t>Que durante la vigencia del contrato, el contratista queda obligado a entregar al IMSS, junto a la factura de cobro respectiva, la opinión de cumplimiento de obligaciones en materia de seguridad social vigente y positiva.</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 xml:space="preserve">Tratándose de personas extranjeras se verificará que los poderes y documentos legales cuenten con la legalización o </w:t>
      </w:r>
      <w:proofErr w:type="spellStart"/>
      <w:r w:rsidRPr="001D6815">
        <w:t>apostillamiento</w:t>
      </w:r>
      <w:proofErr w:type="spellEnd"/>
      <w:r w:rsidRPr="001D6815">
        <w:t xml:space="preserve">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1D35D6" w:rsidRPr="001D6815" w:rsidRDefault="001D35D6" w:rsidP="001D35D6">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1809D0" w:rsidRPr="001809D0" w:rsidRDefault="001809D0" w:rsidP="001809D0">
      <w:pPr>
        <w:spacing w:before="120"/>
        <w:ind w:left="1560"/>
        <w:rPr>
          <w:bCs/>
        </w:rPr>
      </w:pPr>
      <w:r w:rsidRPr="001809D0">
        <w:rPr>
          <w:bCs/>
        </w:rPr>
        <w:t xml:space="preserve">Entregará una por el diez por ciento del monto estipulado en el contrato  sin IVA, para el primer ejercicio presupuestal (2016), </w:t>
      </w:r>
      <w:proofErr w:type="gramStart"/>
      <w:r w:rsidRPr="001809D0">
        <w:rPr>
          <w:bCs/>
        </w:rPr>
        <w:t>misma</w:t>
      </w:r>
      <w:proofErr w:type="gramEnd"/>
      <w:r w:rsidRPr="001809D0">
        <w:rPr>
          <w:bCs/>
        </w:rPr>
        <w:t xml:space="preserve"> que presentará dentro de los 15 días naturales siguientes a la fecha de notificación del fallo e invariablemente antes de la firma del contrato.</w:t>
      </w:r>
    </w:p>
    <w:p w:rsidR="001D35D6" w:rsidRPr="00BE4C9C" w:rsidRDefault="001D35D6" w:rsidP="001D35D6">
      <w:pPr>
        <w:spacing w:before="120"/>
        <w:ind w:left="1560"/>
        <w:rPr>
          <w:bCs/>
        </w:rPr>
      </w:pPr>
      <w:r w:rsidRPr="00320D4C">
        <w:rPr>
          <w:bCs/>
        </w:rPr>
        <w:t xml:space="preserve">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w:t>
      </w:r>
      <w:r w:rsidRPr="00320D4C">
        <w:rPr>
          <w:bCs/>
        </w:rPr>
        <w:lastRenderedPageBreak/>
        <w:t>acuerdo con los ajustes de costos autorizados y las modificaciones contractuales.</w:t>
      </w:r>
    </w:p>
    <w:p w:rsidR="001D35D6" w:rsidRPr="00BE4C9C" w:rsidRDefault="001D35D6" w:rsidP="001D35D6">
      <w:pPr>
        <w:spacing w:before="120"/>
        <w:ind w:left="1560"/>
        <w:rPr>
          <w:bCs/>
        </w:rPr>
      </w:pPr>
      <w:r w:rsidRPr="00BE4C9C">
        <w:rPr>
          <w:bCs/>
        </w:rPr>
        <w:t>La garantía de cumplimiento sustituta deberá ser entregada al IMSS dentro de los 15 días naturales siguientes a la fecha en que el monto de la inversión autorizada se notifique al contratista.</w:t>
      </w:r>
    </w:p>
    <w:p w:rsidR="001D35D6" w:rsidRPr="00A7305A" w:rsidRDefault="001D35D6" w:rsidP="001D35D6">
      <w:pPr>
        <w:tabs>
          <w:tab w:val="left" w:pos="2127"/>
        </w:tabs>
        <w:spacing w:before="120"/>
        <w:ind w:left="1560"/>
        <w:rPr>
          <w:bCs/>
          <w:highlight w:val="cyan"/>
        </w:rPr>
      </w:pPr>
      <w:r w:rsidRPr="00BE4C9C">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1D35D6" w:rsidRPr="001D6815" w:rsidRDefault="001D35D6" w:rsidP="001D35D6">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1D35D6" w:rsidRDefault="001D35D6" w:rsidP="001D35D6">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Default="00713045" w:rsidP="00713045">
      <w:pPr>
        <w:spacing w:before="120"/>
        <w:ind w:left="1560"/>
        <w:rPr>
          <w:bCs/>
          <w:spacing w:val="-3"/>
        </w:rPr>
      </w:pPr>
      <w:r w:rsidRPr="001D6815">
        <w:rPr>
          <w:bCs/>
          <w:spacing w:val="-3"/>
        </w:rPr>
        <w:t xml:space="preserve">El Contratista deberá entregar póliza de garantía, expedida por el proveedor o fabricante, a favor del IMSS, para cada equipo, con una vigencia mínima </w:t>
      </w:r>
      <w:r w:rsidRPr="001D6815">
        <w:rPr>
          <w:bCs/>
          <w:spacing w:val="-3"/>
        </w:rPr>
        <w:lastRenderedPageBreak/>
        <w:t>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lastRenderedPageBreak/>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3826C2">
        <w:rPr>
          <w:b/>
        </w:rPr>
        <w:t>27</w:t>
      </w:r>
      <w:r>
        <w:rPr>
          <w:b/>
        </w:rPr>
        <w:t xml:space="preserve"> de </w:t>
      </w:r>
      <w:r w:rsidR="00D806FB">
        <w:rPr>
          <w:b/>
        </w:rPr>
        <w:t>septiembre</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DB" w:rsidRDefault="007A63DB" w:rsidP="00713045">
      <w:r>
        <w:separator/>
      </w:r>
    </w:p>
  </w:endnote>
  <w:endnote w:type="continuationSeparator" w:id="0">
    <w:p w:rsidR="007A63DB" w:rsidRDefault="007A63DB"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50" w:rsidRPr="007F5019" w:rsidRDefault="00391150"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EA5996">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EA5996">
      <w:rPr>
        <w:noProof/>
        <w:sz w:val="16"/>
        <w:szCs w:val="16"/>
      </w:rPr>
      <w:t>15</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50" w:rsidRDefault="00391150"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EA5996">
      <w:rPr>
        <w:noProof/>
        <w:sz w:val="16"/>
        <w:szCs w:val="16"/>
      </w:rPr>
      <w:t>9</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EA5996">
      <w:rPr>
        <w:noProof/>
        <w:sz w:val="16"/>
        <w:szCs w:val="16"/>
      </w:rPr>
      <w:t>52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DB" w:rsidRDefault="007A63DB" w:rsidP="00713045">
      <w:r>
        <w:separator/>
      </w:r>
    </w:p>
  </w:footnote>
  <w:footnote w:type="continuationSeparator" w:id="0">
    <w:p w:rsidR="007A63DB" w:rsidRDefault="007A63DB"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50" w:rsidRPr="00057608" w:rsidRDefault="00391150"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562F478A" wp14:editId="6ED85810">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391150" w:rsidRDefault="00391150"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391150" w:rsidRPr="00B21542" w:rsidRDefault="00391150" w:rsidP="007E7E25">
    <w:pPr>
      <w:pStyle w:val="Piedepgina"/>
      <w:tabs>
        <w:tab w:val="left" w:pos="1560"/>
      </w:tabs>
      <w:ind w:left="1560"/>
      <w:rPr>
        <w:bCs w:val="0"/>
        <w:sz w:val="2"/>
        <w:szCs w:val="24"/>
        <w:lang w:val="es-ES"/>
      </w:rPr>
    </w:pPr>
  </w:p>
  <w:p w:rsidR="00391150" w:rsidRPr="00414634" w:rsidRDefault="00391150" w:rsidP="007E7E25">
    <w:pPr>
      <w:pStyle w:val="Piedepgina"/>
      <w:tabs>
        <w:tab w:val="left" w:pos="1560"/>
      </w:tabs>
      <w:ind w:left="1560"/>
      <w:rPr>
        <w:b w:val="0"/>
        <w:iCs/>
        <w:sz w:val="16"/>
        <w:szCs w:val="16"/>
        <w:lang w:val="es-MX"/>
      </w:rPr>
    </w:pPr>
    <w:r>
      <w:rPr>
        <w:b w:val="0"/>
        <w:iCs/>
        <w:sz w:val="16"/>
        <w:szCs w:val="16"/>
        <w:lang w:val="es-MX"/>
      </w:rPr>
      <w:t>Dirección de Administración</w:t>
    </w:r>
  </w:p>
  <w:p w:rsidR="00391150" w:rsidRPr="00414634" w:rsidRDefault="00391150"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391150" w:rsidRDefault="00391150"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391150" w:rsidRDefault="00391150" w:rsidP="007E7E25">
    <w:pPr>
      <w:pStyle w:val="Piedepgina"/>
      <w:tabs>
        <w:tab w:val="left" w:pos="1560"/>
      </w:tabs>
      <w:ind w:left="1560"/>
      <w:rPr>
        <w:b w:val="0"/>
        <w:iCs/>
        <w:sz w:val="16"/>
        <w:szCs w:val="16"/>
        <w:lang w:val="es-MX"/>
      </w:rPr>
    </w:pPr>
  </w:p>
  <w:p w:rsidR="00391150" w:rsidRPr="002C0605" w:rsidRDefault="00391150"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391150" w:rsidRPr="008E194E" w:rsidTr="007E7E25">
      <w:tc>
        <w:tcPr>
          <w:tcW w:w="9296" w:type="dxa"/>
          <w:shd w:val="clear" w:color="auto" w:fill="auto"/>
        </w:tcPr>
        <w:p w:rsidR="00391150" w:rsidRDefault="00391150"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391150" w:rsidRPr="007400B0" w:rsidRDefault="00391150" w:rsidP="009341BC">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w:t>
          </w:r>
          <w:r w:rsidRPr="00225870">
            <w:rPr>
              <w:spacing w:val="0"/>
              <w:sz w:val="22"/>
              <w:szCs w:val="22"/>
              <w:lang w:val="es-MX" w:eastAsia="es-MX"/>
            </w:rPr>
            <w:t>019GYR119-E</w:t>
          </w:r>
          <w:r>
            <w:rPr>
              <w:spacing w:val="0"/>
              <w:sz w:val="22"/>
              <w:szCs w:val="22"/>
              <w:lang w:val="es-MX" w:eastAsia="es-MX"/>
            </w:rPr>
            <w:t>84</w:t>
          </w:r>
          <w:r w:rsidRPr="00225870">
            <w:rPr>
              <w:spacing w:val="0"/>
              <w:sz w:val="22"/>
              <w:szCs w:val="22"/>
              <w:lang w:val="es-MX" w:eastAsia="es-MX"/>
            </w:rPr>
            <w:t>-2016</w:t>
          </w:r>
        </w:p>
      </w:tc>
    </w:tr>
  </w:tbl>
  <w:p w:rsidR="00391150" w:rsidRPr="00877177" w:rsidRDefault="00391150"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0DC40AC"/>
    <w:multiLevelType w:val="hybridMultilevel"/>
    <w:tmpl w:val="B20C15DE"/>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29">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1">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6">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1"/>
  </w:num>
  <w:num w:numId="6">
    <w:abstractNumId w:val="10"/>
  </w:num>
  <w:num w:numId="7">
    <w:abstractNumId w:val="16"/>
  </w:num>
  <w:num w:numId="8">
    <w:abstractNumId w:val="3"/>
  </w:num>
  <w:num w:numId="9">
    <w:abstractNumId w:val="26"/>
  </w:num>
  <w:num w:numId="10">
    <w:abstractNumId w:val="37"/>
  </w:num>
  <w:num w:numId="11">
    <w:abstractNumId w:val="29"/>
  </w:num>
  <w:num w:numId="12">
    <w:abstractNumId w:val="18"/>
  </w:num>
  <w:num w:numId="13">
    <w:abstractNumId w:val="17"/>
  </w:num>
  <w:num w:numId="14">
    <w:abstractNumId w:val="35"/>
  </w:num>
  <w:num w:numId="15">
    <w:abstractNumId w:val="7"/>
  </w:num>
  <w:num w:numId="16">
    <w:abstractNumId w:val="8"/>
  </w:num>
  <w:num w:numId="17">
    <w:abstractNumId w:val="27"/>
  </w:num>
  <w:num w:numId="18">
    <w:abstractNumId w:val="2"/>
  </w:num>
  <w:num w:numId="19">
    <w:abstractNumId w:val="5"/>
  </w:num>
  <w:num w:numId="20">
    <w:abstractNumId w:val="39"/>
  </w:num>
  <w:num w:numId="21">
    <w:abstractNumId w:val="4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2"/>
  </w:num>
  <w:num w:numId="28">
    <w:abstractNumId w:val="21"/>
  </w:num>
  <w:num w:numId="29">
    <w:abstractNumId w:val="15"/>
  </w:num>
  <w:num w:numId="30">
    <w:abstractNumId w:val="33"/>
  </w:num>
  <w:num w:numId="31">
    <w:abstractNumId w:val="25"/>
  </w:num>
  <w:num w:numId="32">
    <w:abstractNumId w:val="20"/>
  </w:num>
  <w:num w:numId="33">
    <w:abstractNumId w:val="36"/>
  </w:num>
  <w:num w:numId="34">
    <w:abstractNumId w:val="24"/>
  </w:num>
  <w:num w:numId="35">
    <w:abstractNumId w:val="45"/>
  </w:num>
  <w:num w:numId="36">
    <w:abstractNumId w:val="12"/>
  </w:num>
  <w:num w:numId="37">
    <w:abstractNumId w:val="34"/>
  </w:num>
  <w:num w:numId="38">
    <w:abstractNumId w:val="30"/>
  </w:num>
  <w:num w:numId="39">
    <w:abstractNumId w:val="23"/>
  </w:num>
  <w:num w:numId="40">
    <w:abstractNumId w:val="38"/>
  </w:num>
  <w:num w:numId="41">
    <w:abstractNumId w:val="32"/>
  </w:num>
  <w:num w:numId="42">
    <w:abstractNumId w:val="13"/>
  </w:num>
  <w:num w:numId="43">
    <w:abstractNumId w:val="44"/>
  </w:num>
  <w:num w:numId="44">
    <w:abstractNumId w:val="43"/>
  </w:num>
  <w:num w:numId="45">
    <w:abstractNumId w:val="1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136D0"/>
    <w:rsid w:val="00023E9E"/>
    <w:rsid w:val="000379C8"/>
    <w:rsid w:val="00062314"/>
    <w:rsid w:val="00081BC8"/>
    <w:rsid w:val="00085539"/>
    <w:rsid w:val="00097F21"/>
    <w:rsid w:val="000C1835"/>
    <w:rsid w:val="000D15E6"/>
    <w:rsid w:val="000D2C5D"/>
    <w:rsid w:val="000F02FB"/>
    <w:rsid w:val="000F4FA8"/>
    <w:rsid w:val="00104E90"/>
    <w:rsid w:val="001376A2"/>
    <w:rsid w:val="00151088"/>
    <w:rsid w:val="00155A2E"/>
    <w:rsid w:val="001632E5"/>
    <w:rsid w:val="00176CE1"/>
    <w:rsid w:val="001809D0"/>
    <w:rsid w:val="0018653B"/>
    <w:rsid w:val="001B50BA"/>
    <w:rsid w:val="001C48D9"/>
    <w:rsid w:val="001D1261"/>
    <w:rsid w:val="001D35D6"/>
    <w:rsid w:val="001D7959"/>
    <w:rsid w:val="002159E3"/>
    <w:rsid w:val="00225870"/>
    <w:rsid w:val="00225A75"/>
    <w:rsid w:val="00233A54"/>
    <w:rsid w:val="00286114"/>
    <w:rsid w:val="002A0FBB"/>
    <w:rsid w:val="002B38E8"/>
    <w:rsid w:val="002C1A0F"/>
    <w:rsid w:val="002E720A"/>
    <w:rsid w:val="003170EA"/>
    <w:rsid w:val="003218DD"/>
    <w:rsid w:val="0033243B"/>
    <w:rsid w:val="00340AAA"/>
    <w:rsid w:val="00343FFF"/>
    <w:rsid w:val="003826C2"/>
    <w:rsid w:val="00391150"/>
    <w:rsid w:val="003A67F1"/>
    <w:rsid w:val="003A7319"/>
    <w:rsid w:val="003C17DE"/>
    <w:rsid w:val="003C2B1A"/>
    <w:rsid w:val="003C6924"/>
    <w:rsid w:val="003E699A"/>
    <w:rsid w:val="003F548C"/>
    <w:rsid w:val="004036DC"/>
    <w:rsid w:val="0041114E"/>
    <w:rsid w:val="00435C2C"/>
    <w:rsid w:val="004446DB"/>
    <w:rsid w:val="00450BB4"/>
    <w:rsid w:val="00454749"/>
    <w:rsid w:val="00485413"/>
    <w:rsid w:val="0049327B"/>
    <w:rsid w:val="004A608C"/>
    <w:rsid w:val="004E1C14"/>
    <w:rsid w:val="004E6F78"/>
    <w:rsid w:val="00510BBC"/>
    <w:rsid w:val="00516117"/>
    <w:rsid w:val="00564DD5"/>
    <w:rsid w:val="005B5609"/>
    <w:rsid w:val="005C0575"/>
    <w:rsid w:val="005C2F97"/>
    <w:rsid w:val="005D5157"/>
    <w:rsid w:val="00613E52"/>
    <w:rsid w:val="006406A7"/>
    <w:rsid w:val="00655B98"/>
    <w:rsid w:val="006712D9"/>
    <w:rsid w:val="00680D7E"/>
    <w:rsid w:val="00694AA9"/>
    <w:rsid w:val="006A28FE"/>
    <w:rsid w:val="006C6240"/>
    <w:rsid w:val="00713045"/>
    <w:rsid w:val="00724ED2"/>
    <w:rsid w:val="0073156C"/>
    <w:rsid w:val="00751365"/>
    <w:rsid w:val="0075599F"/>
    <w:rsid w:val="00764044"/>
    <w:rsid w:val="00771AC2"/>
    <w:rsid w:val="007766DD"/>
    <w:rsid w:val="007868B6"/>
    <w:rsid w:val="00786DEC"/>
    <w:rsid w:val="007A63DB"/>
    <w:rsid w:val="007B280A"/>
    <w:rsid w:val="007B4B82"/>
    <w:rsid w:val="007C77D9"/>
    <w:rsid w:val="007D10D4"/>
    <w:rsid w:val="007E7E25"/>
    <w:rsid w:val="00812399"/>
    <w:rsid w:val="008310E8"/>
    <w:rsid w:val="00831E15"/>
    <w:rsid w:val="00841F8E"/>
    <w:rsid w:val="00845F7F"/>
    <w:rsid w:val="0085334B"/>
    <w:rsid w:val="00861C14"/>
    <w:rsid w:val="00862CD8"/>
    <w:rsid w:val="00871179"/>
    <w:rsid w:val="008A2250"/>
    <w:rsid w:val="008C7663"/>
    <w:rsid w:val="008D50C3"/>
    <w:rsid w:val="008D7951"/>
    <w:rsid w:val="009062F5"/>
    <w:rsid w:val="009341BC"/>
    <w:rsid w:val="0096374D"/>
    <w:rsid w:val="00966344"/>
    <w:rsid w:val="009674B1"/>
    <w:rsid w:val="009A3C89"/>
    <w:rsid w:val="009F7389"/>
    <w:rsid w:val="00A26C54"/>
    <w:rsid w:val="00A33D49"/>
    <w:rsid w:val="00A368BA"/>
    <w:rsid w:val="00A777F4"/>
    <w:rsid w:val="00AA13B1"/>
    <w:rsid w:val="00AB707F"/>
    <w:rsid w:val="00AC384F"/>
    <w:rsid w:val="00AE79C0"/>
    <w:rsid w:val="00B06AE2"/>
    <w:rsid w:val="00B16441"/>
    <w:rsid w:val="00B21542"/>
    <w:rsid w:val="00B25554"/>
    <w:rsid w:val="00B2572B"/>
    <w:rsid w:val="00B25924"/>
    <w:rsid w:val="00B32508"/>
    <w:rsid w:val="00B53B70"/>
    <w:rsid w:val="00B53EFF"/>
    <w:rsid w:val="00B63D78"/>
    <w:rsid w:val="00B85995"/>
    <w:rsid w:val="00BA43FC"/>
    <w:rsid w:val="00BC5C62"/>
    <w:rsid w:val="00BD1204"/>
    <w:rsid w:val="00BD13AA"/>
    <w:rsid w:val="00BF55EE"/>
    <w:rsid w:val="00BF78DE"/>
    <w:rsid w:val="00C11259"/>
    <w:rsid w:val="00C22F0B"/>
    <w:rsid w:val="00C45189"/>
    <w:rsid w:val="00C51DF8"/>
    <w:rsid w:val="00C67B46"/>
    <w:rsid w:val="00C7196F"/>
    <w:rsid w:val="00C85CB4"/>
    <w:rsid w:val="00C95A6D"/>
    <w:rsid w:val="00CD7104"/>
    <w:rsid w:val="00CF4C50"/>
    <w:rsid w:val="00D060C8"/>
    <w:rsid w:val="00D34FA4"/>
    <w:rsid w:val="00D44251"/>
    <w:rsid w:val="00D5565E"/>
    <w:rsid w:val="00D623B7"/>
    <w:rsid w:val="00D806FB"/>
    <w:rsid w:val="00D843F8"/>
    <w:rsid w:val="00DB3014"/>
    <w:rsid w:val="00DB58DF"/>
    <w:rsid w:val="00DB639B"/>
    <w:rsid w:val="00DD4CB7"/>
    <w:rsid w:val="00E1278C"/>
    <w:rsid w:val="00E4608B"/>
    <w:rsid w:val="00E823EF"/>
    <w:rsid w:val="00E92690"/>
    <w:rsid w:val="00EA5996"/>
    <w:rsid w:val="00EC0F41"/>
    <w:rsid w:val="00F238A7"/>
    <w:rsid w:val="00F27EE8"/>
    <w:rsid w:val="00F37C40"/>
    <w:rsid w:val="00F57B41"/>
    <w:rsid w:val="00FC707C"/>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B9F9-3892-4F5E-8C2D-A5D1C235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52</Pages>
  <Words>18780</Words>
  <Characters>103293</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Edgar_Olmos</cp:lastModifiedBy>
  <cp:revision>26</cp:revision>
  <cp:lastPrinted>2016-09-27T16:46:00Z</cp:lastPrinted>
  <dcterms:created xsi:type="dcterms:W3CDTF">2016-09-20T17:53:00Z</dcterms:created>
  <dcterms:modified xsi:type="dcterms:W3CDTF">2016-09-27T23:28:00Z</dcterms:modified>
</cp:coreProperties>
</file>