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4924B5">
        <w:rPr>
          <w:b/>
        </w:rPr>
        <w:t xml:space="preserve">LICITACIÓN PÚBLICA NACIONAL No. </w:t>
      </w:r>
      <w:r w:rsidR="00B53EFF" w:rsidRPr="004924B5">
        <w:rPr>
          <w:b/>
        </w:rPr>
        <w:t>LO</w:t>
      </w:r>
      <w:r w:rsidRPr="004924B5">
        <w:rPr>
          <w:b/>
        </w:rPr>
        <w:t>-019GYR119-E</w:t>
      </w:r>
      <w:r w:rsidR="004924B5" w:rsidRPr="004924B5">
        <w:rPr>
          <w:b/>
        </w:rPr>
        <w:t>3</w:t>
      </w:r>
      <w:r w:rsidR="0000454A">
        <w:rPr>
          <w:b/>
        </w:rPr>
        <w:t>6</w:t>
      </w:r>
      <w:r w:rsidRPr="004924B5">
        <w:rPr>
          <w:b/>
        </w:rPr>
        <w:t>-2016</w:t>
      </w:r>
      <w:r w:rsidRPr="003C6924">
        <w:rPr>
          <w:b/>
        </w:rPr>
        <w:t>:</w:t>
      </w:r>
    </w:p>
    <w:p w:rsidR="00713045" w:rsidRPr="003C6924" w:rsidRDefault="00713045" w:rsidP="00713045">
      <w:pPr>
        <w:ind w:left="0"/>
        <w:jc w:val="center"/>
        <w:rPr>
          <w:b/>
        </w:rPr>
      </w:pPr>
    </w:p>
    <w:p w:rsidR="00713045" w:rsidRPr="004924B5" w:rsidRDefault="00713045" w:rsidP="00713045">
      <w:pPr>
        <w:ind w:left="0"/>
        <w:jc w:val="center"/>
        <w:rPr>
          <w:b/>
        </w:rPr>
      </w:pPr>
      <w:r w:rsidRPr="00FA0EE9">
        <w:rPr>
          <w:b/>
        </w:rPr>
        <w:t>“</w:t>
      </w:r>
      <w:r w:rsidR="004924B5" w:rsidRPr="0093257B">
        <w:rPr>
          <w:b/>
        </w:rPr>
        <w:t xml:space="preserve">CONSTRUCCIÓN </w:t>
      </w:r>
      <w:r w:rsidR="0000454A">
        <w:rPr>
          <w:b/>
        </w:rPr>
        <w:t>DE LA UNIDAD DE MEDICINA FAMILIAR CON 10 CONSULTORIOS Y ATENCION MEDICA CONTINUA EN CELAYA, EN LA DELEGACION GUANAJUATO</w:t>
      </w:r>
      <w:r w:rsidRPr="004924B5">
        <w:rPr>
          <w:b/>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4924B5" w:rsidRDefault="00713045" w:rsidP="00713045">
      <w:pPr>
        <w:spacing w:after="120"/>
        <w:ind w:left="710"/>
        <w:rPr>
          <w:b/>
        </w:rPr>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sidRPr="004924B5">
        <w:rPr>
          <w:b/>
        </w:rPr>
        <w:t>LO</w:t>
      </w:r>
      <w:r w:rsidR="0073156C" w:rsidRPr="004924B5">
        <w:rPr>
          <w:b/>
        </w:rPr>
        <w:t>-019GYR119-</w:t>
      </w:r>
      <w:r w:rsidR="00BD13AA" w:rsidRPr="004924B5">
        <w:rPr>
          <w:b/>
        </w:rPr>
        <w:t>E</w:t>
      </w:r>
      <w:r w:rsidR="004924B5">
        <w:rPr>
          <w:b/>
        </w:rPr>
        <w:t>3</w:t>
      </w:r>
      <w:r w:rsidR="0000454A">
        <w:rPr>
          <w:b/>
        </w:rPr>
        <w:t>6</w:t>
      </w:r>
      <w:r w:rsidR="0073156C" w:rsidRPr="004924B5">
        <w:rPr>
          <w:b/>
        </w:rPr>
        <w:t>-201</w:t>
      </w:r>
      <w:r w:rsidR="00D623B7" w:rsidRPr="004924B5">
        <w:rPr>
          <w:b/>
        </w:rPr>
        <w:t>6</w:t>
      </w:r>
      <w:r w:rsidR="0073156C" w:rsidRPr="004924B5">
        <w:t>;</w:t>
      </w:r>
      <w:r w:rsidR="0073156C" w:rsidRPr="002815CF">
        <w:t xml:space="preserve"> para la adjudicación del contrato de obra pública bajo la condición de pago sobre la base de </w:t>
      </w:r>
      <w:r w:rsidR="004924B5" w:rsidRPr="004924B5">
        <w:rPr>
          <w:b/>
        </w:rPr>
        <w:t>Precios Unitarios</w:t>
      </w:r>
      <w:r w:rsidRPr="004924B5">
        <w:rPr>
          <w:b/>
        </w:rPr>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4924B5" w:rsidRDefault="00713045" w:rsidP="00085539">
      <w:pPr>
        <w:spacing w:after="120"/>
        <w:ind w:left="710"/>
      </w:pPr>
      <w:r w:rsidRPr="003C6924">
        <w:t xml:space="preserve">Los trabajos comprenderán la </w:t>
      </w:r>
      <w:r w:rsidRPr="003C6924">
        <w:rPr>
          <w:b/>
        </w:rPr>
        <w:t>“</w:t>
      </w:r>
      <w:r w:rsidR="004924B5" w:rsidRPr="0093257B">
        <w:rPr>
          <w:b/>
        </w:rPr>
        <w:t xml:space="preserve">CONSTRUCCIÓN </w:t>
      </w:r>
      <w:r w:rsidR="0000454A">
        <w:rPr>
          <w:b/>
        </w:rPr>
        <w:t>DE LA UNIDAD DE MEDICINA FAMILIAR CON 10 CONSULTORIOS Y ATENCIÓN MÉDICA CONTINUA EN CELAYA, EN LA DELEGACIÓN GUANAJUATO</w:t>
      </w:r>
      <w:r w:rsidRPr="004924B5">
        <w:rPr>
          <w:b/>
        </w:rPr>
        <w:t>”</w:t>
      </w:r>
      <w:r w:rsidR="004924B5">
        <w:rPr>
          <w:b/>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D20D31">
        <w:rPr>
          <w:b/>
        </w:rPr>
        <w:t>Av. Paseo de los Olivos, esquina con la Av. Valle del Huasco, sin número en la segunda Sección del Fracc. Los Olivos, Celaya, Gto</w:t>
      </w:r>
      <w:r w:rsidR="00713045" w:rsidRPr="003C6924">
        <w:rPr>
          <w:b/>
        </w:rPr>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Pr="004924B5" w:rsidRDefault="00713045" w:rsidP="00713045">
      <w:pPr>
        <w:spacing w:before="120"/>
        <w:ind w:left="710"/>
        <w:rPr>
          <w:b/>
        </w:rPr>
      </w:pPr>
      <w:r w:rsidRPr="00FB605B">
        <w:t>Para la ejecución de los trabajos el licitante deberá considerar un plazo total de</w:t>
      </w:r>
      <w:r w:rsidRPr="00FB605B">
        <w:rPr>
          <w:b/>
        </w:rPr>
        <w:t xml:space="preserve"> </w:t>
      </w:r>
      <w:r w:rsidR="00341AEE">
        <w:rPr>
          <w:b/>
        </w:rPr>
        <w:t>210</w:t>
      </w:r>
      <w:r w:rsidRPr="003C6924">
        <w:rPr>
          <w:b/>
        </w:rPr>
        <w:t xml:space="preserve"> </w:t>
      </w:r>
      <w:r w:rsidRPr="003C6924">
        <w:t>días naturales</w:t>
      </w:r>
      <w:r w:rsidRPr="00FB605B">
        <w:t xml:space="preserve">, con fecha estimada para su inicio </w:t>
      </w:r>
      <w:r w:rsidRPr="003C6924">
        <w:t xml:space="preserve">el </w:t>
      </w:r>
      <w:r w:rsidR="00341AEE">
        <w:rPr>
          <w:b/>
        </w:rPr>
        <w:t>02</w:t>
      </w:r>
      <w:r w:rsidR="004924B5" w:rsidRPr="006F5925">
        <w:rPr>
          <w:b/>
        </w:rPr>
        <w:t xml:space="preserve"> </w:t>
      </w:r>
      <w:r w:rsidR="004924B5" w:rsidRPr="001F6BC4">
        <w:rPr>
          <w:b/>
        </w:rPr>
        <w:t xml:space="preserve">de </w:t>
      </w:r>
      <w:r w:rsidR="00341AEE">
        <w:rPr>
          <w:b/>
        </w:rPr>
        <w:t>junio</w:t>
      </w:r>
      <w:r w:rsidR="004924B5" w:rsidRPr="001F6BC4">
        <w:rPr>
          <w:b/>
        </w:rPr>
        <w:t xml:space="preserve"> de </w:t>
      </w:r>
      <w:r w:rsidR="004924B5" w:rsidRPr="004924B5">
        <w:rPr>
          <w:b/>
        </w:rPr>
        <w:t>2016</w:t>
      </w:r>
      <w:r w:rsidRPr="004924B5">
        <w:rPr>
          <w:b/>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D20D31">
        <w:rPr>
          <w:b/>
        </w:rPr>
        <w:t>26</w:t>
      </w:r>
      <w:r w:rsidR="004924B5" w:rsidRPr="001F6BC4">
        <w:rPr>
          <w:b/>
        </w:rPr>
        <w:t xml:space="preserve"> de abril de 2016,</w:t>
      </w:r>
      <w:r w:rsidR="004924B5" w:rsidRPr="001F6BC4">
        <w:t xml:space="preserve"> a las </w:t>
      </w:r>
      <w:r w:rsidR="004924B5" w:rsidRPr="001F6BC4">
        <w:rPr>
          <w:b/>
        </w:rPr>
        <w:t>1</w:t>
      </w:r>
      <w:r w:rsidR="00D20D31">
        <w:rPr>
          <w:b/>
        </w:rPr>
        <w:t>3</w:t>
      </w:r>
      <w:r w:rsidR="004924B5" w:rsidRPr="001F6BC4">
        <w:rPr>
          <w:b/>
        </w:rPr>
        <w:t>:00 horas,</w:t>
      </w:r>
      <w:r w:rsidR="004924B5" w:rsidRPr="001F6BC4">
        <w:t xml:space="preserve"> siendo el punto de reunión </w:t>
      </w:r>
      <w:r w:rsidR="004924B5" w:rsidRPr="00D20D31">
        <w:rPr>
          <w:b/>
        </w:rPr>
        <w:t xml:space="preserve">en </w:t>
      </w:r>
      <w:r w:rsidR="00D20D31" w:rsidRPr="00D20D31">
        <w:rPr>
          <w:b/>
        </w:rPr>
        <w:t xml:space="preserve">la explanada del Hospital General de Zona No. 4 ubicado en Calle Mutualismo esquina calle Diego Rivera sin número, colonia San Miguel, C.P. 38068, Celaya, Gto. </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w:t>
      </w:r>
      <w:r w:rsidR="000F7247">
        <w:rPr>
          <w:b/>
        </w:rPr>
        <w:t>C</w:t>
      </w:r>
      <w:r w:rsidR="000F7247" w:rsidRPr="0093257B">
        <w:rPr>
          <w:b/>
        </w:rPr>
        <w:t xml:space="preserve">onstrucción </w:t>
      </w:r>
      <w:r w:rsidR="000F7247">
        <w:rPr>
          <w:b/>
        </w:rPr>
        <w:t>de la Unidad de Medicina Familiar con 10 Consultorios y Atención Médica Continua en Celaya, en la Delegación Guanajuato.</w:t>
      </w:r>
      <w:r w:rsidR="000F7247" w:rsidRPr="003C6924">
        <w:rPr>
          <w:rFonts w:eastAsia="Times"/>
          <w:lang w:val="es-ES_tradnl" w:eastAsia="es-ES"/>
        </w:rPr>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713045">
      <w:pPr>
        <w:spacing w:before="120"/>
        <w:ind w:left="710"/>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4924B5">
        <w:rPr>
          <w:b/>
        </w:rPr>
        <w:t>2</w:t>
      </w:r>
      <w:r w:rsidR="004F6DA0">
        <w:rPr>
          <w:b/>
        </w:rPr>
        <w:t>7</w:t>
      </w:r>
      <w:r w:rsidR="004924B5" w:rsidRPr="001F6BC4">
        <w:rPr>
          <w:b/>
        </w:rPr>
        <w:t xml:space="preserve"> de abril de 2016 </w:t>
      </w:r>
      <w:r w:rsidR="004924B5" w:rsidRPr="001F6BC4">
        <w:t>a las</w:t>
      </w:r>
      <w:r w:rsidR="004924B5" w:rsidRPr="001F6BC4">
        <w:rPr>
          <w:b/>
        </w:rPr>
        <w:t xml:space="preserve"> 1</w:t>
      </w:r>
      <w:r w:rsidR="004F6DA0">
        <w:rPr>
          <w:b/>
        </w:rPr>
        <w:t>6</w:t>
      </w:r>
      <w:r w:rsidR="004924B5" w:rsidRPr="001F6BC4">
        <w:rPr>
          <w:b/>
        </w:rPr>
        <w:t xml:space="preserve">:00 horas, </w:t>
      </w:r>
      <w:r w:rsidR="004924B5" w:rsidRPr="001F6BC4">
        <w:t>en la</w:t>
      </w:r>
      <w:r w:rsidR="004924B5" w:rsidRPr="001F6BC4">
        <w:rPr>
          <w:b/>
        </w:rPr>
        <w:t xml:space="preserve"> </w:t>
      </w:r>
      <w:r w:rsidR="004924B5" w:rsidRPr="001F6BC4">
        <w:t xml:space="preserve">Sala de Juntas </w:t>
      </w:r>
      <w:r w:rsidR="004924B5" w:rsidRPr="004F59EE">
        <w:rPr>
          <w:bCs/>
        </w:rPr>
        <w:t xml:space="preserve">de la Coordinación Técnica de Proyectos y Construcción de Inmuebles, ubicada en calle Durango No. 291, 3º Piso, Colonia Roma, Delegación Cuauhtémoc, Código Postal 06700, </w:t>
      </w:r>
      <w:r w:rsidR="004924B5">
        <w:rPr>
          <w:bCs/>
        </w:rPr>
        <w:t>Ciudad de México</w:t>
      </w:r>
      <w:r w:rsidR="000C1835" w:rsidRPr="00023E9E">
        <w:t>.</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xml:space="preserve">, por sí o en representación de un tercero, </w:t>
      </w:r>
      <w:r w:rsidRPr="001D6815">
        <w:lastRenderedPageBreak/>
        <w:t>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lastRenderedPageBreak/>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4924B5" w:rsidRPr="001F6BC4">
        <w:rPr>
          <w:b/>
        </w:rPr>
        <w:t>0990016B3000/</w:t>
      </w:r>
      <w:r w:rsidR="004924B5">
        <w:rPr>
          <w:b/>
        </w:rPr>
        <w:t>6B34/</w:t>
      </w:r>
      <w:r w:rsidR="004924B5" w:rsidRPr="001F6BC4">
        <w:rPr>
          <w:b/>
        </w:rPr>
        <w:t>OP/0</w:t>
      </w:r>
      <w:r w:rsidR="004924B5">
        <w:rPr>
          <w:b/>
        </w:rPr>
        <w:t>8</w:t>
      </w:r>
      <w:r w:rsidR="004F6DA0">
        <w:rPr>
          <w:b/>
        </w:rPr>
        <w:t>1</w:t>
      </w:r>
      <w:r w:rsidR="004924B5" w:rsidRPr="001F6BC4">
        <w:rPr>
          <w:b/>
        </w:rPr>
        <w:t>/</w:t>
      </w:r>
      <w:r w:rsidR="004924B5">
        <w:rPr>
          <w:b/>
        </w:rPr>
        <w:t>1</w:t>
      </w:r>
      <w:r w:rsidR="004F6DA0">
        <w:rPr>
          <w:b/>
        </w:rPr>
        <w:t>14</w:t>
      </w:r>
      <w:r w:rsidR="004924B5" w:rsidRPr="001F6BC4">
        <w:rPr>
          <w:b/>
        </w:rPr>
        <w:t xml:space="preserve">, de fecha </w:t>
      </w:r>
      <w:r w:rsidR="004924B5">
        <w:rPr>
          <w:b/>
        </w:rPr>
        <w:t>29</w:t>
      </w:r>
      <w:r w:rsidR="004924B5" w:rsidRPr="001F6BC4">
        <w:rPr>
          <w:b/>
        </w:rPr>
        <w:t xml:space="preserve"> de </w:t>
      </w:r>
      <w:r w:rsidR="004924B5">
        <w:rPr>
          <w:b/>
        </w:rPr>
        <w:t>marzo</w:t>
      </w:r>
      <w:r w:rsidR="004924B5" w:rsidRPr="001F6BC4">
        <w:rPr>
          <w:b/>
        </w:rPr>
        <w:t xml:space="preserve"> de 2016</w:t>
      </w:r>
      <w:r w:rsidR="004924B5" w:rsidRPr="001F6BC4">
        <w:rPr>
          <w:bCs/>
        </w:rPr>
        <w:t xml:space="preserve">, emitido por la Dirección de Finanzas, de conformidad al Acuerdo </w:t>
      </w:r>
      <w:r w:rsidR="004924B5" w:rsidRPr="001F6BC4">
        <w:rPr>
          <w:b/>
        </w:rPr>
        <w:t>ACDO.AS3.HCT.270116/10.P.DF</w:t>
      </w:r>
      <w:r w:rsidR="004924B5" w:rsidRPr="001F6BC4">
        <w:rPr>
          <w:b/>
          <w:bCs/>
        </w:rPr>
        <w:t>.,</w:t>
      </w:r>
      <w:r w:rsidR="004924B5" w:rsidRPr="001F6BC4">
        <w:rPr>
          <w:bCs/>
        </w:rPr>
        <w:t xml:space="preserve"> emitido por el H. Consejo Técnico</w:t>
      </w:r>
      <w:r w:rsidRPr="00FE0B7A">
        <w:rPr>
          <w:bCs/>
        </w:rPr>
        <w:t>.</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 xml:space="preserve">Para la ejecución de los trabajos objeto del contrato que se derive de la presente licitación, el IMSS </w:t>
      </w:r>
      <w:r w:rsidRPr="004F6DA0">
        <w:rPr>
          <w:b/>
          <w:bCs/>
        </w:rPr>
        <w:t>no otorgará anticipo</w:t>
      </w:r>
      <w:r w:rsidRPr="00B06AE2">
        <w:rPr>
          <w:bCs/>
        </w:rPr>
        <w:t>.</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w:t>
      </w:r>
      <w:r w:rsidRPr="001D6815">
        <w:lastRenderedPageBreak/>
        <w:t>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 xml:space="preserve">Catálogo de conceptos, conteniendo descripción, unidades de medición, cantidades de trabajo, para integrar los precios unitarios con número y letra e </w:t>
      </w:r>
      <w:r w:rsidRPr="009F7389">
        <w:rPr>
          <w:bCs/>
        </w:rPr>
        <w:lastRenderedPageBreak/>
        <w:t>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5F7DE0">
        <w:rPr>
          <w:b/>
          <w:bCs/>
        </w:rPr>
        <w:t>06</w:t>
      </w:r>
      <w:r w:rsidR="004924B5" w:rsidRPr="001F6BC4">
        <w:rPr>
          <w:b/>
          <w:bCs/>
        </w:rPr>
        <w:t xml:space="preserve"> de </w:t>
      </w:r>
      <w:r w:rsidR="005F7DE0">
        <w:rPr>
          <w:b/>
          <w:bCs/>
        </w:rPr>
        <w:t>mayo</w:t>
      </w:r>
      <w:r w:rsidR="004924B5" w:rsidRPr="001F6BC4">
        <w:rPr>
          <w:b/>
          <w:bCs/>
        </w:rPr>
        <w:t xml:space="preserve"> de 2016;</w:t>
      </w:r>
      <w:r w:rsidR="005F7DE0">
        <w:rPr>
          <w:b/>
        </w:rPr>
        <w:t xml:space="preserve"> a las 11</w:t>
      </w:r>
      <w:r w:rsidR="004924B5" w:rsidRPr="001F6BC4">
        <w:rPr>
          <w:b/>
        </w:rPr>
        <w:t>:00 horas</w:t>
      </w:r>
      <w:r w:rsidR="004924B5" w:rsidRPr="001F6BC4">
        <w:rPr>
          <w:b/>
          <w:bCs/>
        </w:rPr>
        <w:t xml:space="preserve">, </w:t>
      </w:r>
      <w:r w:rsidR="004924B5" w:rsidRPr="001F6BC4">
        <w:t xml:space="preserve">en la </w:t>
      </w:r>
      <w:r w:rsidR="004924B5" w:rsidRPr="001F6BC4">
        <w:rPr>
          <w:bCs/>
        </w:rPr>
        <w:t xml:space="preserve">Sala de Juntas </w:t>
      </w:r>
      <w:r w:rsidR="004924B5" w:rsidRPr="004F59EE">
        <w:rPr>
          <w:bCs/>
        </w:rPr>
        <w:t xml:space="preserve">de la Coordinación Técnica de Proyectos y Construcción de Inmuebles, ubicada en calle Durango No. 291, 3º Piso, Colonia Roma, Delegación Cuauhtémoc, Código Postal 06700, </w:t>
      </w:r>
      <w:r w:rsidR="004924B5">
        <w:rPr>
          <w:bCs/>
        </w:rPr>
        <w:t>Ciudad de México</w:t>
      </w:r>
      <w:r w:rsidR="004924B5" w:rsidRPr="001F6BC4">
        <w:rPr>
          <w:bCs/>
        </w:rPr>
        <w:t>.</w:t>
      </w:r>
      <w:r w:rsidR="004924B5" w:rsidRPr="001F6BC4">
        <w:t xml:space="preserve"> </w:t>
      </w:r>
      <w:r w:rsidR="004924B5" w:rsidRPr="001F6BC4">
        <w:rPr>
          <w:spacing w:val="-3"/>
        </w:rPr>
        <w:t>Una vez cerrado el recinto no se permitirá el acceso a ninguna persona, ni la introducción de documentación</w:t>
      </w:r>
      <w:r w:rsidRPr="001D6815">
        <w:rPr>
          <w:spacing w:val="-3"/>
        </w:rPr>
        <w:t>.</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 xml:space="preserve">Para la apertura de las proposiciones, en primer término, serán abiertos los sobres que contengan las proposiciones recibidas por medios remotos de </w:t>
      </w:r>
      <w:r w:rsidRPr="001D6815">
        <w:rPr>
          <w:bCs/>
        </w:rPr>
        <w:lastRenderedPageBreak/>
        <w:t>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lastRenderedPageBreak/>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00F857AB">
        <w:rPr>
          <w:b/>
        </w:rPr>
        <w:t>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9F5CEA">
        <w:rPr>
          <w:b/>
        </w:rPr>
        <w:t>26</w:t>
      </w:r>
      <w:r w:rsidR="008F18B7" w:rsidRPr="001F6BC4">
        <w:rPr>
          <w:b/>
        </w:rPr>
        <w:t xml:space="preserve"> de mayo de 2016; a las 16:00 horas,</w:t>
      </w:r>
      <w:r w:rsidR="008F18B7" w:rsidRPr="001F6BC4">
        <w:rPr>
          <w:bCs/>
        </w:rPr>
        <w:t xml:space="preserve"> </w:t>
      </w:r>
      <w:r w:rsidR="008F18B7">
        <w:rPr>
          <w:bCs/>
        </w:rPr>
        <w:t>e</w:t>
      </w:r>
      <w:r w:rsidR="008F18B7" w:rsidRPr="001F6BC4">
        <w:rPr>
          <w:bCs/>
        </w:rPr>
        <w:t xml:space="preserve">n la Sala de Juntas </w:t>
      </w:r>
      <w:r w:rsidR="008F18B7" w:rsidRPr="004F59EE">
        <w:rPr>
          <w:bCs/>
        </w:rPr>
        <w:t xml:space="preserve">de la Coordinación Técnica de Proyectos y Construcción de Inmuebles, ubicada en calle Durango No. 291, 3º Piso, Colonia Roma, Delegación Cuauhtémoc, Código Postal 06700, </w:t>
      </w:r>
      <w:r w:rsidR="008F18B7">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8F18B7" w:rsidP="008F18B7">
      <w:pPr>
        <w:spacing w:before="120"/>
        <w:ind w:left="851"/>
        <w:rPr>
          <w:rFonts w:eastAsia="Calibri"/>
          <w:lang w:eastAsia="en-US"/>
        </w:rPr>
      </w:pPr>
      <w:r w:rsidRPr="001F6BC4">
        <w:rPr>
          <w:rFonts w:eastAsia="Calibri"/>
          <w:lang w:eastAsia="en-US"/>
        </w:rPr>
        <w:t xml:space="preserve">Los licitantes deberán acreditar experiencia en trabajos relativos a la  construcción de Unidades Médicas de características, complejidad y magnitud equivalentes o superiores a la del objeto de la presente licitación, considerando para efectos de evaluación un máximo de 5 años o un mínimo de </w:t>
      </w:r>
      <w:r w:rsidR="009A5B7E">
        <w:rPr>
          <w:rFonts w:eastAsia="Calibri"/>
          <w:lang w:eastAsia="en-US"/>
        </w:rPr>
        <w:t>3</w:t>
      </w:r>
      <w:r w:rsidRPr="001F6BC4">
        <w:rPr>
          <w:rFonts w:eastAsia="Calibri"/>
          <w:lang w:eastAsia="en-US"/>
        </w:rPr>
        <w:t xml:space="preserve"> años, así como un máximo de </w:t>
      </w:r>
      <w:r w:rsidR="009A5B7E">
        <w:rPr>
          <w:rFonts w:eastAsia="Calibri"/>
          <w:lang w:eastAsia="en-US"/>
        </w:rPr>
        <w:t>4</w:t>
      </w:r>
      <w:r w:rsidRPr="001F6BC4">
        <w:rPr>
          <w:rFonts w:eastAsia="Calibri"/>
          <w:lang w:eastAsia="en-US"/>
        </w:rPr>
        <w:t xml:space="preserve"> Contratos cumplidos y un mínimo de 2 en los 10 años anteriores a la fecha de la presentación de proposiciones</w:t>
      </w:r>
      <w:r w:rsidR="00841F8E">
        <w:rPr>
          <w:rFonts w:eastAsia="Calibri"/>
          <w:lang w:eastAsia="en-US"/>
        </w:rPr>
        <w:t>.</w:t>
      </w:r>
    </w:p>
    <w:p w:rsidR="00713045" w:rsidRPr="0041114E" w:rsidRDefault="00713045" w:rsidP="008F18B7">
      <w:pPr>
        <w:spacing w:before="120"/>
        <w:ind w:left="851"/>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8F18B7" w:rsidRDefault="00713045" w:rsidP="00713045">
      <w:pPr>
        <w:spacing w:before="120"/>
        <w:ind w:left="851"/>
        <w:rPr>
          <w:b/>
          <w:bCs/>
        </w:rPr>
      </w:pPr>
      <w:r w:rsidRPr="008F18B7">
        <w:rPr>
          <w:b/>
          <w:bCs/>
        </w:rPr>
        <w:t>Características:</w:t>
      </w:r>
    </w:p>
    <w:p w:rsidR="00713045" w:rsidRPr="0041114E" w:rsidRDefault="008F18B7" w:rsidP="00713045">
      <w:pPr>
        <w:spacing w:before="120"/>
        <w:ind w:left="851"/>
        <w:rPr>
          <w:bCs/>
        </w:rPr>
      </w:pPr>
      <w:r w:rsidRPr="001F6BC4">
        <w:rPr>
          <w:bCs/>
        </w:rPr>
        <w:t>Haber realizado trabajos de construcción de Unidades de Medicina Familiar con capacidad física similar a la de la presente licitación y/o de Hospitales tanto en el sector público como en el ámbito privado, bajo la modalidad de precio unitario y tiempo determinado u obras cuyas instalaciones sean comparables a los trabajos, objeto de la presente licitación</w:t>
      </w:r>
      <w:r w:rsidR="007B280A" w:rsidRPr="0041114E">
        <w:rPr>
          <w:bCs/>
        </w:rPr>
        <w:t>.</w:t>
      </w:r>
    </w:p>
    <w:p w:rsidR="00713045" w:rsidRPr="008F18B7" w:rsidRDefault="00713045" w:rsidP="00713045">
      <w:pPr>
        <w:spacing w:before="120"/>
        <w:ind w:left="851"/>
        <w:rPr>
          <w:b/>
          <w:bCs/>
        </w:rPr>
      </w:pPr>
      <w:r w:rsidRPr="008F18B7">
        <w:rPr>
          <w:b/>
          <w:bCs/>
        </w:rPr>
        <w:t>Complejidad de la Obra:</w:t>
      </w:r>
    </w:p>
    <w:p w:rsidR="00713045" w:rsidRPr="0041114E" w:rsidRDefault="008F18B7" w:rsidP="00713045">
      <w:pPr>
        <w:spacing w:before="120"/>
        <w:ind w:left="851"/>
        <w:rPr>
          <w:bCs/>
        </w:rPr>
      </w:pPr>
      <w:r w:rsidRPr="001F6BC4">
        <w:rPr>
          <w:bCs/>
        </w:rPr>
        <w:t xml:space="preserve">Se deberá considerar que el licitante haya realizado obras de unidades de medicina familiar de </w:t>
      </w:r>
      <w:r>
        <w:rPr>
          <w:bCs/>
        </w:rPr>
        <w:t>10</w:t>
      </w:r>
      <w:r w:rsidRPr="001F6BC4">
        <w:rPr>
          <w:bCs/>
        </w:rPr>
        <w:t xml:space="preserve"> o más consultorios u hospitalarias y/o edificios similares nuevos, que requieren trabajos de ingeniería especializada como la instalación de gases medicinales, sistemas de aire acondicionado, preparación de instalaciones para el equipo médico, sistema constructivo simultaneo, </w:t>
      </w:r>
      <w:r w:rsidRPr="001F6BC4">
        <w:rPr>
          <w:bCs/>
        </w:rPr>
        <w:lastRenderedPageBreak/>
        <w:t>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r w:rsidR="00286114" w:rsidRPr="0041114E">
        <w:rPr>
          <w:bCs/>
        </w:rPr>
        <w:t>.</w:t>
      </w:r>
    </w:p>
    <w:p w:rsidR="00713045" w:rsidRPr="008F18B7" w:rsidRDefault="00713045" w:rsidP="00713045">
      <w:pPr>
        <w:spacing w:before="120"/>
        <w:ind w:left="851"/>
        <w:rPr>
          <w:b/>
          <w:bCs/>
        </w:rPr>
      </w:pPr>
      <w:r w:rsidRPr="008F18B7">
        <w:rPr>
          <w:b/>
          <w:bCs/>
        </w:rPr>
        <w:t>Magnitud:</w:t>
      </w:r>
    </w:p>
    <w:p w:rsidR="00104E90" w:rsidRPr="003218DD" w:rsidRDefault="008F18B7" w:rsidP="00104E90">
      <w:pPr>
        <w:spacing w:before="120"/>
        <w:ind w:left="851"/>
        <w:rPr>
          <w:bCs/>
        </w:rPr>
      </w:pPr>
      <w:r w:rsidRPr="001F6BC4">
        <w:rPr>
          <w:bCs/>
        </w:rPr>
        <w:t xml:space="preserve">Los licitantes deberán acreditar mediante la copia de los contratos respectivos, haber construido unidades de medicina familiar de </w:t>
      </w:r>
      <w:r>
        <w:rPr>
          <w:bCs/>
        </w:rPr>
        <w:t>10</w:t>
      </w:r>
      <w:r w:rsidRPr="001F6BC4">
        <w:rPr>
          <w:bCs/>
        </w:rPr>
        <w:t xml:space="preserve"> o más consultorios y/o con una Superficie de Construc</w:t>
      </w:r>
      <w:r w:rsidR="009A5B7E">
        <w:rPr>
          <w:bCs/>
        </w:rPr>
        <w:t>ción Estimada o superior a los 2</w:t>
      </w:r>
      <w:r w:rsidRPr="001F6BC4">
        <w:rPr>
          <w:bCs/>
        </w:rPr>
        <w:t>,</w:t>
      </w:r>
      <w:r w:rsidR="009A5B7E">
        <w:rPr>
          <w:bCs/>
        </w:rPr>
        <w:t>0</w:t>
      </w:r>
      <w:r w:rsidRPr="001F6BC4">
        <w:rPr>
          <w:bCs/>
        </w:rPr>
        <w:t>00.00 m</w:t>
      </w:r>
      <w:r w:rsidRPr="001F6BC4">
        <w:rPr>
          <w:bCs/>
          <w:vertAlign w:val="superscript"/>
        </w:rPr>
        <w:t xml:space="preserve">2 </w:t>
      </w:r>
      <w:r w:rsidRPr="001F6BC4">
        <w:rPr>
          <w:bCs/>
        </w:rPr>
        <w:t>más la Superficie Complementaria de Construcción (Obras exteriores) y todo aquello que garanticen la totalidad de la Obra, además deberá de considerar las Obras Exteriores</w:t>
      </w:r>
      <w:r w:rsidR="00104E90" w:rsidRPr="003218DD">
        <w:rPr>
          <w:bCs/>
        </w:rPr>
        <w:t>.</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92707">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 xml:space="preserve">Información para que los licitantes integren su proposición técnica y </w:t>
      </w:r>
      <w:r w:rsidRPr="001D6815">
        <w:rPr>
          <w:b/>
        </w:rPr>
        <w:lastRenderedPageBreak/>
        <w:t>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040F92">
        <w:rPr>
          <w:spacing w:val="0"/>
        </w:rPr>
        <w:t>4</w:t>
      </w:r>
      <w:r w:rsidRPr="00090044">
        <w:rPr>
          <w:spacing w:val="0"/>
        </w:rPr>
        <w:t>,</w:t>
      </w:r>
      <w:r w:rsidR="00040F92">
        <w:rPr>
          <w:spacing w:val="0"/>
        </w:rPr>
        <w:t>4A</w:t>
      </w:r>
      <w:r w:rsidRPr="00090044">
        <w:rPr>
          <w:spacing w:val="0"/>
        </w:rPr>
        <w:t>,</w:t>
      </w:r>
      <w:r w:rsidR="00040F92">
        <w:rPr>
          <w:spacing w:val="0"/>
        </w:rPr>
        <w:t>5,</w:t>
      </w:r>
      <w:r w:rsidRPr="00090044">
        <w:rPr>
          <w:spacing w:val="0"/>
        </w:rPr>
        <w:t>9</w:t>
      </w:r>
      <w:r w:rsidR="00040F92">
        <w:rPr>
          <w:spacing w:val="0"/>
        </w:rPr>
        <w:t xml:space="preserve"> al</w:t>
      </w:r>
      <w:r>
        <w:rPr>
          <w:spacing w:val="0"/>
        </w:rPr>
        <w:t xml:space="preserve"> </w:t>
      </w:r>
      <w:r w:rsidR="00040F92">
        <w:rPr>
          <w:spacing w:val="0"/>
        </w:rPr>
        <w:t>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lastRenderedPageBreak/>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w:t>
      </w:r>
      <w:r w:rsidRPr="00271566">
        <w:rPr>
          <w:spacing w:val="0"/>
        </w:rPr>
        <w:lastRenderedPageBreak/>
        <w:t xml:space="preserve">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lastRenderedPageBreak/>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1D38DC">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8F18B7" w:rsidRPr="001F6BC4">
        <w:rPr>
          <w:b/>
        </w:rPr>
        <w:t>“</w:t>
      </w:r>
      <w:r w:rsidR="008C6D3C">
        <w:rPr>
          <w:b/>
        </w:rPr>
        <w:t>Construcción de la Unidad de Medicina Familiar con 10 Consultorios y Atención Médica Continua en Celaya, en la Delegación Guanajuato</w:t>
      </w:r>
      <w:r w:rsidR="008F18B7" w:rsidRPr="001F6BC4">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lastRenderedPageBreak/>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lastRenderedPageBreak/>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8F18B7" w:rsidRPr="001F6BC4">
        <w:rPr>
          <w:b/>
        </w:rPr>
        <w:t>“</w:t>
      </w:r>
      <w:r w:rsidR="009A5B7E">
        <w:rPr>
          <w:b/>
        </w:rPr>
        <w:t>C</w:t>
      </w:r>
      <w:r w:rsidR="009A5B7E" w:rsidRPr="0093257B">
        <w:rPr>
          <w:b/>
        </w:rPr>
        <w:t xml:space="preserve">onstrucción </w:t>
      </w:r>
      <w:r w:rsidR="009A5B7E">
        <w:rPr>
          <w:b/>
        </w:rPr>
        <w:t>de la Unidad de Medicina Familiar con 10 Consultorios y atención Médica Continua.</w:t>
      </w:r>
      <w:r w:rsidR="009A5B7E" w:rsidRPr="001F6BC4">
        <w:rPr>
          <w:b/>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8F18B7" w:rsidRPr="001F6BC4">
        <w:rPr>
          <w:b/>
        </w:rPr>
        <w:t>“</w:t>
      </w:r>
      <w:r w:rsidR="009A5B7E">
        <w:rPr>
          <w:b/>
        </w:rPr>
        <w:t>C</w:t>
      </w:r>
      <w:r w:rsidR="009A5B7E" w:rsidRPr="0093257B">
        <w:rPr>
          <w:b/>
        </w:rPr>
        <w:t xml:space="preserve">onstrucción </w:t>
      </w:r>
      <w:r w:rsidR="009A5B7E">
        <w:rPr>
          <w:b/>
        </w:rPr>
        <w:t>de la Unidad de Medicina Familiar con 10 Consultorios y atención Médica Continua.</w:t>
      </w:r>
      <w:r w:rsidR="008F18B7" w:rsidRPr="001F6BC4">
        <w:rPr>
          <w:b/>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8F18B7" w:rsidRPr="001F6BC4">
        <w:rPr>
          <w:b/>
        </w:rPr>
        <w:t>“</w:t>
      </w:r>
      <w:r w:rsidR="00203C57">
        <w:rPr>
          <w:b/>
        </w:rPr>
        <w:t>C</w:t>
      </w:r>
      <w:r w:rsidR="00203C57" w:rsidRPr="0093257B">
        <w:rPr>
          <w:b/>
        </w:rPr>
        <w:t xml:space="preserve">onstrucción </w:t>
      </w:r>
      <w:r w:rsidR="00203C57">
        <w:rPr>
          <w:b/>
        </w:rPr>
        <w:t>de la Unidad de Medicina Familiar con 10 Consultorios y atención Médica Continua.</w:t>
      </w:r>
      <w:r w:rsidR="008F18B7" w:rsidRPr="001F6BC4">
        <w:rPr>
          <w:b/>
        </w:rPr>
        <w:t>”</w:t>
      </w:r>
      <w:r w:rsidRPr="003218DD">
        <w:rPr>
          <w:b/>
          <w:lang w:val="es-ES_tradnl"/>
        </w:rPr>
        <w:t>;</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8F18B7" w:rsidRPr="001F6BC4">
        <w:rPr>
          <w:b/>
        </w:rPr>
        <w:t>“</w:t>
      </w:r>
      <w:r w:rsidR="00203C57">
        <w:rPr>
          <w:b/>
        </w:rPr>
        <w:t>C</w:t>
      </w:r>
      <w:r w:rsidR="00203C57" w:rsidRPr="0093257B">
        <w:rPr>
          <w:b/>
        </w:rPr>
        <w:t xml:space="preserve">onstrucción </w:t>
      </w:r>
      <w:r w:rsidR="00203C57">
        <w:rPr>
          <w:b/>
        </w:rPr>
        <w:t>de la Unidad de Medicina Familiar con 10 Consultorios y atención Médica Continua.</w:t>
      </w:r>
      <w:r w:rsidR="008F18B7" w:rsidRPr="001F6BC4">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lastRenderedPageBreak/>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w:t>
      </w:r>
      <w:r w:rsidRPr="00203C57">
        <w:rPr>
          <w:b/>
          <w:bCs/>
          <w:spacing w:val="0"/>
        </w:rPr>
        <w:t>mano de obra local</w:t>
      </w:r>
      <w:r>
        <w:rPr>
          <w:bCs/>
          <w:spacing w:val="0"/>
        </w:rPr>
        <w:t xml:space="preserve"> </w:t>
      </w:r>
      <w:r w:rsidRPr="00FD2A12">
        <w:rPr>
          <w:bCs/>
          <w:spacing w:val="0"/>
        </w:rPr>
        <w:t>que contrate para la ejecución de los trabajos</w:t>
      </w:r>
      <w:r>
        <w:rPr>
          <w:bCs/>
          <w:spacing w:val="0"/>
        </w:rPr>
        <w:t>,</w:t>
      </w:r>
      <w:r w:rsidRPr="00FD2A12">
        <w:rPr>
          <w:bCs/>
          <w:spacing w:val="0"/>
        </w:rPr>
        <w:t xml:space="preserve"> sea de cuando menos un </w:t>
      </w:r>
      <w:r w:rsidR="00203C57" w:rsidRPr="00203C57">
        <w:rPr>
          <w:b/>
          <w:bCs/>
          <w:spacing w:val="0"/>
        </w:rPr>
        <w:t>25</w:t>
      </w:r>
      <w:r w:rsidRPr="00203C57">
        <w:rPr>
          <w:b/>
          <w:bCs/>
          <w:spacing w:val="0"/>
        </w:rPr>
        <w:t xml:space="preserve"> %</w:t>
      </w:r>
      <w:r w:rsidRPr="00FD2A12">
        <w:rPr>
          <w:bCs/>
          <w:spacing w:val="0"/>
        </w:rPr>
        <w:t>,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1B3AE0">
        <w:rPr>
          <w:b/>
          <w:bCs/>
        </w:rPr>
        <w:t>4</w:t>
      </w:r>
      <w:r w:rsidRPr="00CE5EEE">
        <w:rPr>
          <w:b/>
        </w:rPr>
        <w:t xml:space="preserve"> </w:t>
      </w:r>
      <w:r w:rsidRPr="00E002C9">
        <w:rPr>
          <w:bCs/>
        </w:rPr>
        <w:t>y</w:t>
      </w:r>
      <w:r w:rsidRPr="00CE5EEE">
        <w:rPr>
          <w:b/>
          <w:bCs/>
        </w:rPr>
        <w:t xml:space="preserve"> </w:t>
      </w:r>
      <w:r w:rsidRPr="005C0575">
        <w:rPr>
          <w:b/>
          <w:lang w:val="es-ES_tradnl"/>
        </w:rPr>
        <w:t>201</w:t>
      </w:r>
      <w:r w:rsidR="001B3AE0">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lastRenderedPageBreak/>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lastRenderedPageBreak/>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w:t>
      </w:r>
      <w:r w:rsidRPr="00FE4F97">
        <w:lastRenderedPageBreak/>
        <w:t>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w:t>
      </w:r>
      <w:r w:rsidR="006D575D">
        <w:rPr>
          <w:bCs/>
        </w:rPr>
        <w:t>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lastRenderedPageBreak/>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223359">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lastRenderedPageBreak/>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lastRenderedPageBreak/>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lastRenderedPageBreak/>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w:t>
      </w:r>
      <w:r w:rsidRPr="001D6815">
        <w:rPr>
          <w:rFonts w:cs="Arial"/>
          <w:sz w:val="22"/>
          <w:szCs w:val="22"/>
        </w:rPr>
        <w:lastRenderedPageBreak/>
        <w:t>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lastRenderedPageBreak/>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w:t>
      </w:r>
      <w:r w:rsidRPr="004663D0">
        <w:lastRenderedPageBreak/>
        <w:t>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xml:space="preserve">, al licitante que manifieste que contará con el mayor número de subcontratos </w:t>
      </w:r>
      <w:r w:rsidRPr="002815CF">
        <w:rPr>
          <w:rFonts w:cs="Arial"/>
          <w:sz w:val="22"/>
          <w:szCs w:val="22"/>
        </w:rPr>
        <w:lastRenderedPageBreak/>
        <w:t>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FE547A">
        <w:rPr>
          <w:rFonts w:cs="Arial"/>
          <w:b/>
          <w:sz w:val="22"/>
          <w:szCs w:val="22"/>
        </w:rPr>
        <w:t>3</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FE547A">
        <w:rPr>
          <w:rFonts w:cs="Arial"/>
          <w:b/>
          <w:sz w:val="22"/>
          <w:szCs w:val="22"/>
        </w:rPr>
        <w:t>4</w:t>
      </w:r>
      <w:r w:rsidRPr="009B07A6">
        <w:rPr>
          <w:rFonts w:cs="Arial"/>
          <w:sz w:val="22"/>
          <w:szCs w:val="22"/>
          <w:lang w:val="es-MX"/>
        </w:rPr>
        <w:t xml:space="preserve"> contratos, concluidos hasta antes de la fecha del acto de presentación y apertura de proposición del presente procedimiento, </w:t>
      </w:r>
      <w:r w:rsidRPr="009B07A6">
        <w:rPr>
          <w:rFonts w:cs="Arial"/>
          <w:sz w:val="22"/>
          <w:szCs w:val="22"/>
          <w:lang w:val="es-MX"/>
        </w:rPr>
        <w:lastRenderedPageBreak/>
        <w:t xml:space="preserve">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lastRenderedPageBreak/>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lastRenderedPageBreak/>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lastRenderedPageBreak/>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 xml:space="preserve">El capital neto de trabajo que acredita el licitante, resulta insuficiente para el financiamiento de los trabajos objeto del procedimiento, en los </w:t>
      </w:r>
      <w:r w:rsidRPr="00B675D4">
        <w:rPr>
          <w:bCs/>
          <w:lang w:val="es-ES"/>
        </w:rPr>
        <w:lastRenderedPageBreak/>
        <w:t>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lastRenderedPageBreak/>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2067"/>
        <w:gridCol w:w="2334"/>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r w:rsidR="00C52FE9" w:rsidRPr="001D6815" w:rsidTr="007E7E25">
        <w:trPr>
          <w:trHeight w:val="399"/>
        </w:trPr>
        <w:tc>
          <w:tcPr>
            <w:tcW w:w="0" w:type="auto"/>
            <w:vAlign w:val="center"/>
          </w:tcPr>
          <w:p w:rsidR="00C52FE9" w:rsidRPr="002815CF" w:rsidRDefault="00C52FE9" w:rsidP="00C52FE9">
            <w:pPr>
              <w:tabs>
                <w:tab w:val="left" w:pos="1985"/>
                <w:tab w:val="left" w:pos="2552"/>
                <w:tab w:val="left" w:pos="9639"/>
              </w:tabs>
              <w:suppressAutoHyphens w:val="0"/>
              <w:autoSpaceDE/>
              <w:ind w:left="-49"/>
              <w:rPr>
                <w:lang w:val="es-ES" w:eastAsia="es-ES"/>
              </w:rPr>
            </w:pPr>
            <w:r>
              <w:rPr>
                <w:lang w:val="es-ES_tradnl" w:eastAsia="es-ES"/>
              </w:rPr>
              <w:t xml:space="preserve">Más de </w:t>
            </w:r>
            <w:r w:rsidRPr="002815CF">
              <w:rPr>
                <w:lang w:val="es-ES_tradnl" w:eastAsia="es-ES"/>
              </w:rPr>
              <w:t xml:space="preserve">30 millones de pesos </w:t>
            </w:r>
            <w:r>
              <w:rPr>
                <w:lang w:val="es-ES_tradnl" w:eastAsia="es-ES"/>
              </w:rPr>
              <w:t>y hasta 50 millones de pesos</w:t>
            </w:r>
          </w:p>
        </w:tc>
        <w:tc>
          <w:tcPr>
            <w:tcW w:w="0" w:type="auto"/>
            <w:vAlign w:val="center"/>
          </w:tcPr>
          <w:p w:rsidR="00C52FE9" w:rsidRPr="002815CF" w:rsidRDefault="00C52FE9" w:rsidP="00C52FE9">
            <w:pPr>
              <w:tabs>
                <w:tab w:val="left" w:pos="1985"/>
                <w:tab w:val="left" w:pos="2552"/>
                <w:tab w:val="left" w:pos="9639"/>
              </w:tabs>
              <w:suppressAutoHyphens w:val="0"/>
              <w:autoSpaceDE/>
              <w:ind w:left="-108" w:right="-108"/>
              <w:jc w:val="center"/>
              <w:rPr>
                <w:lang w:val="es-ES" w:eastAsia="es-ES"/>
              </w:rPr>
            </w:pPr>
            <w:r w:rsidRPr="002815CF">
              <w:rPr>
                <w:lang w:val="es-ES" w:eastAsia="es-ES"/>
              </w:rPr>
              <w:t>1</w:t>
            </w:r>
            <w:r>
              <w:rPr>
                <w:lang w:val="es-ES" w:eastAsia="es-ES"/>
              </w:rPr>
              <w:t>2.5</w:t>
            </w:r>
            <w:r w:rsidRPr="002815CF">
              <w:rPr>
                <w:lang w:val="es-ES" w:eastAsia="es-ES"/>
              </w:rPr>
              <w:t>%</w:t>
            </w:r>
          </w:p>
        </w:tc>
        <w:tc>
          <w:tcPr>
            <w:tcW w:w="0" w:type="auto"/>
            <w:vAlign w:val="center"/>
          </w:tcPr>
          <w:p w:rsidR="00C52FE9" w:rsidRPr="002815CF" w:rsidRDefault="00C52FE9" w:rsidP="00F84229">
            <w:pPr>
              <w:suppressAutoHyphens w:val="0"/>
              <w:autoSpaceDE/>
              <w:ind w:left="0"/>
              <w:jc w:val="center"/>
              <w:rPr>
                <w:lang w:val="es-ES" w:eastAsia="es-ES"/>
              </w:rPr>
            </w:pPr>
            <w:r>
              <w:rPr>
                <w:lang w:val="es-ES" w:eastAsia="es-ES"/>
              </w:rPr>
              <w:t xml:space="preserve">4 </w:t>
            </w:r>
            <w:r w:rsidRPr="002815CF">
              <w:rPr>
                <w:lang w:val="es-ES" w:eastAsia="es-ES"/>
              </w:rPr>
              <w:t>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C52FE9" w:rsidRPr="00C52FE9">
        <w:rPr>
          <w:b/>
        </w:rPr>
        <w:t>0</w:t>
      </w:r>
      <w:r w:rsidR="001B3AE0" w:rsidRPr="001F6BC4">
        <w:rPr>
          <w:b/>
        </w:rPr>
        <w:t xml:space="preserve">1 de </w:t>
      </w:r>
      <w:r w:rsidR="00645487">
        <w:rPr>
          <w:b/>
        </w:rPr>
        <w:t>junio</w:t>
      </w:r>
      <w:bookmarkStart w:id="0" w:name="_GoBack"/>
      <w:bookmarkEnd w:id="0"/>
      <w:r w:rsidR="001B3AE0" w:rsidRPr="001F6BC4">
        <w:rPr>
          <w:b/>
        </w:rPr>
        <w:t xml:space="preserve"> de 2016; a las 1</w:t>
      </w:r>
      <w:r w:rsidR="00FE547A">
        <w:rPr>
          <w:b/>
        </w:rPr>
        <w:t>2</w:t>
      </w:r>
      <w:r w:rsidR="001B3AE0" w:rsidRPr="001F6BC4">
        <w:rPr>
          <w:b/>
        </w:rPr>
        <w:t>:00 horas,</w:t>
      </w:r>
      <w:r w:rsidR="001B3AE0" w:rsidRPr="001F6BC4">
        <w:rPr>
          <w:bCs/>
        </w:rPr>
        <w:t xml:space="preserve"> en </w:t>
      </w:r>
      <w:r w:rsidR="001B3AE0" w:rsidRPr="001F6BC4">
        <w:t>la oficina de</w:t>
      </w:r>
      <w:r w:rsidR="001B3AE0" w:rsidRPr="001F6BC4">
        <w:rPr>
          <w:lang w:val="es-ES_tradnl"/>
        </w:rPr>
        <w:t xml:space="preserve"> la División de Concursos y Contratos</w:t>
      </w:r>
      <w:r w:rsidR="001B3AE0" w:rsidRPr="001F6BC4">
        <w:t xml:space="preserve">, ubicadas </w:t>
      </w:r>
      <w:r w:rsidR="001B3AE0" w:rsidRPr="001F6BC4">
        <w:rPr>
          <w:lang w:val="es-ES_tradnl"/>
        </w:rPr>
        <w:t>en calle Durango No. 291, 2° piso, colonia Roma, Delegación Cuauhtémoc, C. P. 06700, Ciudad de 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 xml:space="preserve">A efecto de cumplir con lo dispuesto por el artículo 32 D, del Código Fiscal de la Federación y a lo establecido en la regla 2.1.31 de la Resolución Miscelánea </w:t>
      </w:r>
      <w:r w:rsidRPr="00062314">
        <w:rPr>
          <w:bCs/>
        </w:rPr>
        <w:lastRenderedPageBreak/>
        <w:t>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D20D31" w:rsidRPr="00932511" w:rsidRDefault="00D20D3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4924B5" w:rsidRPr="00932511" w:rsidRDefault="004924B5"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D20D31" w:rsidRPr="00932511" w:rsidRDefault="00D20D3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4924B5" w:rsidRPr="00932511" w:rsidRDefault="004924B5"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 xml:space="preserve">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w:t>
      </w:r>
      <w:r w:rsidRPr="00062314">
        <w:lastRenderedPageBreak/>
        <w:t>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lastRenderedPageBreak/>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 xml:space="preserve">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w:t>
      </w:r>
      <w:r w:rsidRPr="001D6815">
        <w:rPr>
          <w:bCs/>
        </w:rPr>
        <w:lastRenderedPageBreak/>
        <w:t>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w:t>
      </w:r>
      <w:r w:rsidRPr="001D6815">
        <w:lastRenderedPageBreak/>
        <w:t xml:space="preserve">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lastRenderedPageBreak/>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FE547A">
        <w:rPr>
          <w:b/>
        </w:rPr>
        <w:t>21</w:t>
      </w:r>
      <w:r>
        <w:rPr>
          <w:b/>
        </w:rPr>
        <w:t xml:space="preserve"> de </w:t>
      </w:r>
      <w:r w:rsidR="001B3AE0">
        <w:rPr>
          <w:b/>
        </w:rPr>
        <w:t>abril</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EC0" w:rsidRDefault="00207EC0" w:rsidP="00713045">
      <w:r>
        <w:separator/>
      </w:r>
    </w:p>
  </w:endnote>
  <w:endnote w:type="continuationSeparator" w:id="0">
    <w:p w:rsidR="00207EC0" w:rsidRDefault="00207EC0"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31" w:rsidRPr="007F5019" w:rsidRDefault="00D20D31"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645487">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645487">
      <w:rPr>
        <w:noProof/>
        <w:sz w:val="16"/>
        <w:szCs w:val="16"/>
      </w:rPr>
      <w:t>3</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31" w:rsidRDefault="00D20D31"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645487">
      <w:rPr>
        <w:noProof/>
        <w:sz w:val="16"/>
        <w:szCs w:val="16"/>
      </w:rPr>
      <w:t>45</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645487">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EC0" w:rsidRDefault="00207EC0" w:rsidP="00713045">
      <w:r>
        <w:separator/>
      </w:r>
    </w:p>
  </w:footnote>
  <w:footnote w:type="continuationSeparator" w:id="0">
    <w:p w:rsidR="00207EC0" w:rsidRDefault="00207EC0"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31" w:rsidRPr="00057608" w:rsidRDefault="00D20D31"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47798329" wp14:editId="1BA99942">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D20D31" w:rsidRDefault="00D20D31"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D20D31" w:rsidRPr="00B21542" w:rsidRDefault="00D20D31" w:rsidP="007E7E25">
    <w:pPr>
      <w:pStyle w:val="Piedepgina"/>
      <w:tabs>
        <w:tab w:val="left" w:pos="1560"/>
      </w:tabs>
      <w:ind w:left="1560"/>
      <w:rPr>
        <w:bCs w:val="0"/>
        <w:sz w:val="2"/>
        <w:szCs w:val="24"/>
        <w:lang w:val="es-ES"/>
      </w:rPr>
    </w:pPr>
  </w:p>
  <w:p w:rsidR="00D20D31" w:rsidRPr="00414634" w:rsidRDefault="00D20D31" w:rsidP="007E7E25">
    <w:pPr>
      <w:pStyle w:val="Piedepgina"/>
      <w:tabs>
        <w:tab w:val="left" w:pos="1560"/>
      </w:tabs>
      <w:ind w:left="1560"/>
      <w:rPr>
        <w:b w:val="0"/>
        <w:iCs/>
        <w:sz w:val="16"/>
        <w:szCs w:val="16"/>
        <w:lang w:val="es-MX"/>
      </w:rPr>
    </w:pPr>
    <w:r>
      <w:rPr>
        <w:b w:val="0"/>
        <w:iCs/>
        <w:sz w:val="16"/>
        <w:szCs w:val="16"/>
        <w:lang w:val="es-MX"/>
      </w:rPr>
      <w:t>Dirección de Administración</w:t>
    </w:r>
  </w:p>
  <w:p w:rsidR="00D20D31" w:rsidRPr="00414634" w:rsidRDefault="00D20D31"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D20D31" w:rsidRDefault="00D20D31"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D20D31" w:rsidRDefault="00D20D31" w:rsidP="007E7E25">
    <w:pPr>
      <w:pStyle w:val="Piedepgina"/>
      <w:tabs>
        <w:tab w:val="left" w:pos="1560"/>
      </w:tabs>
      <w:ind w:left="1560"/>
      <w:rPr>
        <w:b w:val="0"/>
        <w:iCs/>
        <w:sz w:val="16"/>
        <w:szCs w:val="16"/>
        <w:lang w:val="es-MX"/>
      </w:rPr>
    </w:pPr>
  </w:p>
  <w:p w:rsidR="00D20D31" w:rsidRPr="002C0605" w:rsidRDefault="00D20D31"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D20D31" w:rsidRPr="008E194E" w:rsidTr="007E7E25">
      <w:tc>
        <w:tcPr>
          <w:tcW w:w="9296" w:type="dxa"/>
          <w:shd w:val="clear" w:color="auto" w:fill="auto"/>
        </w:tcPr>
        <w:p w:rsidR="00D20D31" w:rsidRDefault="00D20D31"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D20D31" w:rsidRPr="007400B0" w:rsidRDefault="00D20D31" w:rsidP="0000454A">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36</w:t>
          </w:r>
          <w:r w:rsidRPr="00085539">
            <w:rPr>
              <w:spacing w:val="0"/>
              <w:sz w:val="22"/>
              <w:szCs w:val="22"/>
              <w:lang w:val="es-MX" w:eastAsia="es-MX"/>
            </w:rPr>
            <w:t>-2016</w:t>
          </w:r>
        </w:p>
      </w:tc>
    </w:tr>
  </w:tbl>
  <w:p w:rsidR="00D20D31" w:rsidRPr="00877177" w:rsidRDefault="00D20D31"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0454A"/>
    <w:rsid w:val="00023E9E"/>
    <w:rsid w:val="00040F92"/>
    <w:rsid w:val="00062314"/>
    <w:rsid w:val="000718F3"/>
    <w:rsid w:val="00085539"/>
    <w:rsid w:val="000C1835"/>
    <w:rsid w:val="000D2C5D"/>
    <w:rsid w:val="000D65F6"/>
    <w:rsid w:val="000F7247"/>
    <w:rsid w:val="00104E90"/>
    <w:rsid w:val="001376A2"/>
    <w:rsid w:val="001632E5"/>
    <w:rsid w:val="001B3AE0"/>
    <w:rsid w:val="001B50BA"/>
    <w:rsid w:val="001D1261"/>
    <w:rsid w:val="001D38DC"/>
    <w:rsid w:val="00203C57"/>
    <w:rsid w:val="00207EC0"/>
    <w:rsid w:val="00223359"/>
    <w:rsid w:val="00225A75"/>
    <w:rsid w:val="00253355"/>
    <w:rsid w:val="00286114"/>
    <w:rsid w:val="002B38E8"/>
    <w:rsid w:val="002C1A0F"/>
    <w:rsid w:val="003218DD"/>
    <w:rsid w:val="0033243B"/>
    <w:rsid w:val="00340AAA"/>
    <w:rsid w:val="00341AEE"/>
    <w:rsid w:val="003675BC"/>
    <w:rsid w:val="003A7319"/>
    <w:rsid w:val="003C2B1A"/>
    <w:rsid w:val="003C6924"/>
    <w:rsid w:val="003E699A"/>
    <w:rsid w:val="003F548C"/>
    <w:rsid w:val="0041114E"/>
    <w:rsid w:val="004446DB"/>
    <w:rsid w:val="00450BB4"/>
    <w:rsid w:val="00454749"/>
    <w:rsid w:val="00485413"/>
    <w:rsid w:val="004924B5"/>
    <w:rsid w:val="0049327B"/>
    <w:rsid w:val="004E1C14"/>
    <w:rsid w:val="004E6F78"/>
    <w:rsid w:val="004F6DA0"/>
    <w:rsid w:val="00510BBC"/>
    <w:rsid w:val="00564DD5"/>
    <w:rsid w:val="005C0575"/>
    <w:rsid w:val="005F1126"/>
    <w:rsid w:val="005F7DE0"/>
    <w:rsid w:val="00613E52"/>
    <w:rsid w:val="006406A7"/>
    <w:rsid w:val="00645487"/>
    <w:rsid w:val="006D575D"/>
    <w:rsid w:val="006E4DA4"/>
    <w:rsid w:val="00713045"/>
    <w:rsid w:val="0073156C"/>
    <w:rsid w:val="007766DD"/>
    <w:rsid w:val="00786DEC"/>
    <w:rsid w:val="007B280A"/>
    <w:rsid w:val="007B4B82"/>
    <w:rsid w:val="007E7E25"/>
    <w:rsid w:val="00831E15"/>
    <w:rsid w:val="00841F8E"/>
    <w:rsid w:val="00845F7F"/>
    <w:rsid w:val="0085334B"/>
    <w:rsid w:val="00861C14"/>
    <w:rsid w:val="008A2250"/>
    <w:rsid w:val="008C6D3C"/>
    <w:rsid w:val="008F18B7"/>
    <w:rsid w:val="009062F5"/>
    <w:rsid w:val="00992707"/>
    <w:rsid w:val="009A5B7E"/>
    <w:rsid w:val="009F5CEA"/>
    <w:rsid w:val="009F7389"/>
    <w:rsid w:val="00A26C54"/>
    <w:rsid w:val="00A33D49"/>
    <w:rsid w:val="00AA13B1"/>
    <w:rsid w:val="00AB707F"/>
    <w:rsid w:val="00AE3847"/>
    <w:rsid w:val="00B06AE2"/>
    <w:rsid w:val="00B21542"/>
    <w:rsid w:val="00B32508"/>
    <w:rsid w:val="00B35813"/>
    <w:rsid w:val="00B53EFF"/>
    <w:rsid w:val="00BD1204"/>
    <w:rsid w:val="00BD13AA"/>
    <w:rsid w:val="00BF55EE"/>
    <w:rsid w:val="00C22F0B"/>
    <w:rsid w:val="00C45189"/>
    <w:rsid w:val="00C52FE9"/>
    <w:rsid w:val="00C67B46"/>
    <w:rsid w:val="00C7196F"/>
    <w:rsid w:val="00C95A6D"/>
    <w:rsid w:val="00D20D31"/>
    <w:rsid w:val="00D44251"/>
    <w:rsid w:val="00D623B7"/>
    <w:rsid w:val="00DB3014"/>
    <w:rsid w:val="00DD4CB7"/>
    <w:rsid w:val="00E4608B"/>
    <w:rsid w:val="00E85429"/>
    <w:rsid w:val="00EC0F41"/>
    <w:rsid w:val="00F57B41"/>
    <w:rsid w:val="00F857AB"/>
    <w:rsid w:val="00FA0EE9"/>
    <w:rsid w:val="00FE0B7A"/>
    <w:rsid w:val="00FE54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C40F-246E-46D2-8534-F408AF2D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51</Pages>
  <Words>18226</Words>
  <Characters>100244</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Jose Manuel Rebolledo Bailon</cp:lastModifiedBy>
  <cp:revision>20</cp:revision>
  <cp:lastPrinted>2016-04-13T18:06:00Z</cp:lastPrinted>
  <dcterms:created xsi:type="dcterms:W3CDTF">2016-04-13T18:00:00Z</dcterms:created>
  <dcterms:modified xsi:type="dcterms:W3CDTF">2016-05-31T14:43:00Z</dcterms:modified>
</cp:coreProperties>
</file>