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652CE851" w:rsidR="006A582D" w:rsidRPr="006A582D" w:rsidRDefault="006A582D" w:rsidP="006A582D">
      <w:pPr>
        <w:jc w:val="center"/>
        <w:rPr>
          <w:rFonts w:ascii="Noto Sans" w:hAnsi="Noto Sans" w:cs="Noto Sans"/>
          <w:b/>
          <w:sz w:val="20"/>
          <w:szCs w:val="20"/>
        </w:rPr>
      </w:pPr>
      <w:r w:rsidRPr="006A582D">
        <w:rPr>
          <w:rFonts w:ascii="Noto Sans" w:hAnsi="Noto Sans" w:cs="Noto Sans"/>
          <w:b/>
          <w:sz w:val="20"/>
          <w:szCs w:val="20"/>
        </w:rPr>
        <w:t>ANEXO 4</w:t>
      </w:r>
      <w:r w:rsidR="0042648E">
        <w:rPr>
          <w:rFonts w:ascii="Noto Sans" w:hAnsi="Noto Sans" w:cs="Noto Sans"/>
          <w:b/>
          <w:sz w:val="20"/>
          <w:szCs w:val="20"/>
        </w:rPr>
        <w:t>B</w:t>
      </w:r>
      <w:r w:rsidRPr="006A582D">
        <w:rPr>
          <w:rFonts w:ascii="Noto Sans" w:hAnsi="Noto Sans" w:cs="Noto Sans"/>
          <w:b/>
          <w:sz w:val="20"/>
          <w:szCs w:val="20"/>
        </w:rPr>
        <w:t xml:space="preserve"> (CUATRO</w:t>
      </w:r>
      <w:r w:rsidR="0042648E">
        <w:rPr>
          <w:rFonts w:ascii="Noto Sans" w:hAnsi="Noto Sans" w:cs="Noto Sans"/>
          <w:b/>
          <w:sz w:val="20"/>
          <w:szCs w:val="20"/>
        </w:rPr>
        <w:t xml:space="preserve"> B</w:t>
      </w:r>
      <w:r w:rsidRPr="006A582D">
        <w:rPr>
          <w:rFonts w:ascii="Noto Sans" w:hAnsi="Noto Sans" w:cs="Noto Sans"/>
          <w:b/>
          <w:sz w:val="20"/>
          <w:szCs w:val="20"/>
        </w:rPr>
        <w:t>)</w:t>
      </w:r>
    </w:p>
    <w:p w14:paraId="4E4E063A" w14:textId="77777777" w:rsidR="006A582D" w:rsidRDefault="006A582D" w:rsidP="006A582D">
      <w:pPr>
        <w:jc w:val="center"/>
        <w:rPr>
          <w:rFonts w:ascii="Noto Sans" w:hAnsi="Noto Sans" w:cs="Noto Sans"/>
          <w:b/>
          <w:sz w:val="20"/>
          <w:szCs w:val="20"/>
        </w:rPr>
      </w:pPr>
    </w:p>
    <w:p w14:paraId="0C19CBBB" w14:textId="5D5EF888" w:rsidR="00A25867" w:rsidRPr="006A582D" w:rsidRDefault="0042648E" w:rsidP="006A582D">
      <w:pPr>
        <w:jc w:val="center"/>
        <w:rPr>
          <w:rFonts w:ascii="Noto Sans" w:hAnsi="Noto Sans" w:cs="Noto Sans"/>
          <w:b/>
          <w:sz w:val="20"/>
          <w:szCs w:val="20"/>
        </w:rPr>
      </w:pPr>
      <w:r>
        <w:rPr>
          <w:rFonts w:ascii="Noto Sans" w:hAnsi="Noto Sans" w:cs="Noto Sans"/>
          <w:b/>
          <w:sz w:val="20"/>
          <w:szCs w:val="20"/>
        </w:rPr>
        <w:t>TERMINOS Y CONDICIONES</w:t>
      </w:r>
    </w:p>
    <w:p w14:paraId="76CE3485" w14:textId="040D0ADD" w:rsidR="00B0615C" w:rsidRPr="00A25867" w:rsidRDefault="00B0615C" w:rsidP="008152C1">
      <w:pPr>
        <w:rPr>
          <w:rFonts w:ascii="Noto Sans" w:hAnsi="Noto Sans" w:cs="Noto Sans"/>
          <w:sz w:val="20"/>
          <w:szCs w:val="20"/>
        </w:rPr>
      </w:pPr>
    </w:p>
    <w:p w14:paraId="245D9804" w14:textId="77777777" w:rsidR="0042648E" w:rsidRPr="0042648E" w:rsidRDefault="0042648E" w:rsidP="0042648E">
      <w:pPr>
        <w:autoSpaceDE w:val="0"/>
        <w:autoSpaceDN w:val="0"/>
        <w:adjustRightInd w:val="0"/>
        <w:ind w:right="-93"/>
        <w:jc w:val="both"/>
        <w:rPr>
          <w:rFonts w:ascii="Noto Sans" w:eastAsiaTheme="minorHAnsi" w:hAnsi="Noto Sans" w:cs="Noto Sans"/>
          <w:b/>
          <w:color w:val="C00000"/>
          <w:sz w:val="20"/>
          <w:szCs w:val="20"/>
        </w:rPr>
      </w:pPr>
      <w:r w:rsidRPr="0042648E">
        <w:rPr>
          <w:rFonts w:ascii="Noto Sans" w:eastAsiaTheme="minorHAnsi" w:hAnsi="Noto Sans" w:cs="Noto Sans"/>
          <w:b/>
          <w:sz w:val="20"/>
          <w:szCs w:val="20"/>
        </w:rPr>
        <w:t>A-  La Vigencia de la contratación</w:t>
      </w:r>
      <w:r w:rsidRPr="0042648E">
        <w:rPr>
          <w:rFonts w:ascii="Noto Sans" w:eastAsia="Calibri" w:hAnsi="Noto Sans" w:cs="Noto Sans"/>
          <w:b/>
          <w:sz w:val="20"/>
          <w:szCs w:val="20"/>
          <w:lang w:eastAsia="es-ES"/>
        </w:rPr>
        <w:t xml:space="preserve"> comprenderá del día de la firma del contrato a 90 días Posteriores </w:t>
      </w:r>
      <w:r w:rsidRPr="0042648E">
        <w:rPr>
          <w:rFonts w:ascii="Noto Sans" w:eastAsiaTheme="minorHAnsi" w:hAnsi="Noto Sans" w:cs="Noto Sans"/>
          <w:b/>
          <w:sz w:val="20"/>
          <w:szCs w:val="20"/>
        </w:rPr>
        <w:t xml:space="preserve">y ejercicio presupuestal </w:t>
      </w:r>
      <w:r w:rsidRPr="0042648E">
        <w:rPr>
          <w:rFonts w:ascii="Noto Sans" w:hAnsi="Noto Sans" w:cs="Noto Sans"/>
          <w:b/>
          <w:sz w:val="20"/>
          <w:szCs w:val="20"/>
        </w:rPr>
        <w:t>es del año 2025.</w:t>
      </w:r>
    </w:p>
    <w:p w14:paraId="359DA227" w14:textId="77777777" w:rsidR="0042648E" w:rsidRPr="0042648E" w:rsidRDefault="0042648E" w:rsidP="0042648E">
      <w:pPr>
        <w:tabs>
          <w:tab w:val="left" w:pos="-284"/>
          <w:tab w:val="left" w:pos="9498"/>
        </w:tabs>
        <w:overflowPunct w:val="0"/>
        <w:autoSpaceDE w:val="0"/>
        <w:autoSpaceDN w:val="0"/>
        <w:adjustRightInd w:val="0"/>
        <w:jc w:val="both"/>
        <w:textAlignment w:val="baseline"/>
        <w:rPr>
          <w:rFonts w:ascii="Noto Sans" w:eastAsia="Calibri" w:hAnsi="Noto Sans" w:cs="Noto Sans"/>
          <w:b/>
          <w:sz w:val="20"/>
          <w:szCs w:val="20"/>
          <w:lang w:val="es-MX" w:eastAsia="es-ES"/>
        </w:rPr>
      </w:pPr>
    </w:p>
    <w:p w14:paraId="7B627DB1" w14:textId="77777777" w:rsidR="0042648E" w:rsidRPr="0042648E" w:rsidRDefault="0042648E" w:rsidP="0042648E">
      <w:pPr>
        <w:tabs>
          <w:tab w:val="left" w:pos="-284"/>
          <w:tab w:val="left" w:pos="9498"/>
        </w:tabs>
        <w:overflowPunct w:val="0"/>
        <w:autoSpaceDE w:val="0"/>
        <w:autoSpaceDN w:val="0"/>
        <w:adjustRightInd w:val="0"/>
        <w:jc w:val="both"/>
        <w:textAlignment w:val="baseline"/>
        <w:rPr>
          <w:rFonts w:ascii="Noto Sans" w:eastAsia="Calibri" w:hAnsi="Noto Sans" w:cs="Noto Sans"/>
          <w:sz w:val="20"/>
          <w:szCs w:val="20"/>
          <w:lang w:val="es-MX" w:eastAsia="es-ES"/>
        </w:rPr>
      </w:pPr>
      <w:r w:rsidRPr="0042648E">
        <w:rPr>
          <w:rFonts w:ascii="Noto Sans" w:eastAsia="Calibri" w:hAnsi="Noto Sans" w:cs="Noto Sans"/>
          <w:b/>
          <w:sz w:val="20"/>
          <w:szCs w:val="20"/>
          <w:lang w:val="es-MX" w:eastAsia="es-ES"/>
        </w:rPr>
        <w:t>B- Plazo de entrega: Las órdenes de reposición</w:t>
      </w:r>
      <w:r w:rsidRPr="0042648E">
        <w:rPr>
          <w:rFonts w:ascii="Noto Sans" w:eastAsia="Calibri" w:hAnsi="Noto Sans" w:cs="Noto Sans"/>
          <w:sz w:val="20"/>
          <w:szCs w:val="20"/>
          <w:lang w:val="es-MX" w:eastAsia="es-ES"/>
        </w:rPr>
        <w:t xml:space="preserve"> que genere la UMAE serán hechas del conocimiento del proveedor adjudicado, vía internet, a través de la dirección electrónica (</w:t>
      </w:r>
      <w:hyperlink r:id="rId9" w:history="1">
        <w:r w:rsidRPr="0042648E">
          <w:rPr>
            <w:rFonts w:ascii="Noto Sans" w:eastAsia="Calibri" w:hAnsi="Noto Sans" w:cs="Noto Sans"/>
            <w:sz w:val="20"/>
            <w:szCs w:val="20"/>
            <w:u w:val="single"/>
            <w:lang w:val="es-MX" w:eastAsia="es-ES"/>
          </w:rPr>
          <w:t>http://sai.imss.gob.mx</w:t>
        </w:r>
      </w:hyperlink>
      <w:r w:rsidRPr="0042648E">
        <w:rPr>
          <w:rFonts w:ascii="Noto Sans" w:eastAsia="Calibri" w:hAnsi="Noto Sans" w:cs="Noto Sans"/>
          <w:sz w:val="20"/>
          <w:szCs w:val="20"/>
          <w:lang w:val="es-MX" w:eastAsia="es-ES"/>
        </w:rPr>
        <w:t xml:space="preserve">). </w:t>
      </w:r>
    </w:p>
    <w:p w14:paraId="0C7CF31A" w14:textId="77777777" w:rsidR="0042648E" w:rsidRPr="0042648E" w:rsidRDefault="0042648E" w:rsidP="0042648E">
      <w:pPr>
        <w:tabs>
          <w:tab w:val="left" w:pos="-284"/>
          <w:tab w:val="left" w:pos="9498"/>
        </w:tabs>
        <w:jc w:val="both"/>
        <w:rPr>
          <w:rFonts w:ascii="Noto Sans" w:eastAsia="Calibri" w:hAnsi="Noto Sans" w:cs="Noto Sans"/>
          <w:color w:val="000000" w:themeColor="text1"/>
          <w:sz w:val="20"/>
          <w:szCs w:val="20"/>
          <w:lang w:val="es-MX" w:eastAsia="es-ES"/>
        </w:rPr>
      </w:pPr>
      <w:r w:rsidRPr="0042648E">
        <w:rPr>
          <w:rFonts w:ascii="Noto Sans" w:eastAsia="Calibri" w:hAnsi="Noto Sans" w:cs="Noto Sans"/>
          <w:b/>
          <w:color w:val="000000" w:themeColor="text1"/>
          <w:sz w:val="20"/>
          <w:szCs w:val="20"/>
          <w:lang w:eastAsia="es-ES"/>
        </w:rPr>
        <w:t>Plazo, lugar y condiciones de entrega</w:t>
      </w:r>
      <w:r w:rsidRPr="0042648E">
        <w:rPr>
          <w:rFonts w:ascii="Noto Sans" w:eastAsia="Calibri" w:hAnsi="Noto Sans" w:cs="Noto Sans"/>
          <w:color w:val="000000" w:themeColor="text1"/>
          <w:sz w:val="20"/>
          <w:szCs w:val="20"/>
          <w:lang w:eastAsia="es-ES"/>
        </w:rPr>
        <w:t xml:space="preserve">.- </w:t>
      </w:r>
      <w:r w:rsidRPr="0042648E">
        <w:rPr>
          <w:rFonts w:ascii="Noto Sans" w:eastAsia="Calibri" w:hAnsi="Noto Sans" w:cs="Noto Sans"/>
          <w:color w:val="000000" w:themeColor="text1"/>
          <w:sz w:val="20"/>
          <w:szCs w:val="20"/>
          <w:lang w:val="es-MX" w:eastAsia="es-ES"/>
        </w:rPr>
        <w:t xml:space="preserve">el proveedor adjudicado se comprometerá a entregar a la UMAE los consumibles dentro los </w:t>
      </w:r>
      <w:r w:rsidRPr="0042648E">
        <w:rPr>
          <w:rFonts w:ascii="Noto Sans" w:eastAsia="Calibri" w:hAnsi="Noto Sans" w:cs="Noto Sans"/>
          <w:b/>
          <w:color w:val="000000" w:themeColor="text1"/>
          <w:sz w:val="20"/>
          <w:szCs w:val="20"/>
          <w:lang w:val="es-MX" w:eastAsia="es-ES"/>
        </w:rPr>
        <w:t>15</w:t>
      </w:r>
      <w:r w:rsidRPr="0042648E">
        <w:rPr>
          <w:rFonts w:ascii="Noto Sans" w:eastAsia="Calibri" w:hAnsi="Noto Sans" w:cs="Noto Sans"/>
          <w:color w:val="000000" w:themeColor="text1"/>
          <w:sz w:val="20"/>
          <w:szCs w:val="20"/>
          <w:lang w:val="es-MX" w:eastAsia="es-ES"/>
        </w:rPr>
        <w:t xml:space="preserve"> días </w:t>
      </w:r>
      <w:r w:rsidRPr="0042648E">
        <w:rPr>
          <w:rFonts w:ascii="Noto Sans" w:eastAsia="Calibri" w:hAnsi="Noto Sans" w:cs="Noto Sans"/>
          <w:i/>
          <w:color w:val="000000" w:themeColor="text1"/>
          <w:sz w:val="20"/>
          <w:szCs w:val="20"/>
          <w:u w:val="single"/>
          <w:lang w:val="es-MX" w:eastAsia="es-ES"/>
        </w:rPr>
        <w:t>naturales</w:t>
      </w:r>
      <w:r w:rsidRPr="0042648E">
        <w:rPr>
          <w:rFonts w:ascii="Noto Sans" w:eastAsia="Calibri" w:hAnsi="Noto Sans" w:cs="Noto Sans"/>
          <w:color w:val="000000" w:themeColor="text1"/>
          <w:sz w:val="20"/>
          <w:szCs w:val="20"/>
          <w:lang w:val="es-MX" w:eastAsia="es-ES"/>
        </w:rPr>
        <w:t xml:space="preserve"> posteriores a la orden de </w:t>
      </w:r>
      <w:proofErr w:type="spellStart"/>
      <w:r w:rsidRPr="0042648E">
        <w:rPr>
          <w:rFonts w:ascii="Noto Sans" w:eastAsia="Calibri" w:hAnsi="Noto Sans" w:cs="Noto Sans"/>
          <w:color w:val="000000" w:themeColor="text1"/>
          <w:sz w:val="20"/>
          <w:szCs w:val="20"/>
          <w:lang w:val="es-MX" w:eastAsia="es-ES"/>
        </w:rPr>
        <w:t>reposicion</w:t>
      </w:r>
      <w:proofErr w:type="spellEnd"/>
      <w:r w:rsidRPr="0042648E">
        <w:rPr>
          <w:rFonts w:ascii="Noto Sans" w:eastAsia="Calibri" w:hAnsi="Noto Sans" w:cs="Noto Sans"/>
          <w:color w:val="000000" w:themeColor="text1"/>
          <w:sz w:val="20"/>
          <w:szCs w:val="20"/>
          <w:lang w:val="es-MX" w:eastAsia="es-ES"/>
        </w:rPr>
        <w:t xml:space="preserve"> correspondiente, considerándose este plazo como entrega oportuna, y hasta un máximo de cuatro días de entrega con atraso.</w:t>
      </w:r>
    </w:p>
    <w:p w14:paraId="3086F367" w14:textId="77777777" w:rsidR="0042648E" w:rsidRPr="0042648E" w:rsidRDefault="0042648E" w:rsidP="0042648E">
      <w:pPr>
        <w:tabs>
          <w:tab w:val="left" w:pos="-284"/>
          <w:tab w:val="left" w:pos="9498"/>
        </w:tabs>
        <w:jc w:val="both"/>
        <w:rPr>
          <w:rFonts w:ascii="Noto Sans" w:eastAsia="Calibri" w:hAnsi="Noto Sans" w:cs="Noto Sans"/>
          <w:sz w:val="20"/>
          <w:szCs w:val="20"/>
          <w:lang w:val="es-MX" w:eastAsia="es-ES"/>
        </w:rPr>
      </w:pPr>
      <w:r w:rsidRPr="0042648E">
        <w:rPr>
          <w:rFonts w:ascii="Noto Sans" w:eastAsia="Calibri" w:hAnsi="Noto Sans" w:cs="Noto Sans"/>
          <w:color w:val="000000" w:themeColor="text1"/>
          <w:sz w:val="20"/>
          <w:szCs w:val="20"/>
          <w:lang w:val="es-MX" w:eastAsia="es-ES"/>
        </w:rPr>
        <w:t xml:space="preserve">-El proveedor adjudicado podrá entregar los bienes antes del vencimiento del plazo establecido para tal efecto, previa </w:t>
      </w:r>
      <w:r w:rsidRPr="0042648E">
        <w:rPr>
          <w:rFonts w:ascii="Noto Sans" w:eastAsia="Calibri" w:hAnsi="Noto Sans" w:cs="Noto Sans"/>
          <w:sz w:val="20"/>
          <w:szCs w:val="20"/>
          <w:lang w:val="es-MX" w:eastAsia="es-ES"/>
        </w:rPr>
        <w:t xml:space="preserve">conformidad de la UMAE. </w:t>
      </w:r>
    </w:p>
    <w:p w14:paraId="443490C8" w14:textId="77777777" w:rsidR="0042648E" w:rsidRPr="0042648E" w:rsidRDefault="0042648E" w:rsidP="0042648E">
      <w:pPr>
        <w:numPr>
          <w:ilvl w:val="12"/>
          <w:numId w:val="0"/>
        </w:numPr>
        <w:ind w:right="-93"/>
        <w:jc w:val="both"/>
        <w:rPr>
          <w:rFonts w:ascii="Noto Sans" w:eastAsia="Calibri" w:hAnsi="Noto Sans" w:cs="Noto Sans"/>
          <w:sz w:val="20"/>
          <w:szCs w:val="20"/>
          <w:lang w:eastAsia="es-ES"/>
        </w:rPr>
      </w:pPr>
      <w:r w:rsidRPr="0042648E">
        <w:rPr>
          <w:rFonts w:ascii="Noto Sans" w:eastAsia="Calibri" w:hAnsi="Noto Sans" w:cs="Noto Sans"/>
          <w:sz w:val="20"/>
          <w:szCs w:val="20"/>
          <w:lang w:eastAsia="es-ES"/>
        </w:rPr>
        <w:t>-</w:t>
      </w:r>
      <w:r w:rsidRPr="0042648E">
        <w:rPr>
          <w:rFonts w:ascii="Noto Sans" w:eastAsia="Calibri" w:hAnsi="Noto Sans" w:cs="Noto Sans"/>
          <w:b/>
          <w:sz w:val="20"/>
          <w:szCs w:val="20"/>
          <w:lang w:eastAsia="es-ES"/>
        </w:rPr>
        <w:t>El proveedor adjudicado se obliga a entregar los bienes perfectamente empacados</w:t>
      </w:r>
      <w:r w:rsidRPr="0042648E">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42648E">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42648E">
        <w:rPr>
          <w:rFonts w:ascii="Noto Sans" w:eastAsia="Calibri" w:hAnsi="Noto Sans" w:cs="Noto Sans"/>
          <w:sz w:val="20"/>
          <w:szCs w:val="20"/>
          <w:lang w:eastAsia="es-ES"/>
        </w:rPr>
        <w:t xml:space="preserve"> </w:t>
      </w:r>
      <w:r w:rsidRPr="0042648E">
        <w:rPr>
          <w:rFonts w:ascii="Noto Sans" w:eastAsia="Calibri" w:hAnsi="Noto Sans" w:cs="Noto Sans"/>
          <w:sz w:val="20"/>
          <w:szCs w:val="20"/>
          <w:lang w:val="es-MX" w:eastAsia="es-ES"/>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2FA324BF" w14:textId="77777777" w:rsidR="0042648E" w:rsidRPr="0042648E" w:rsidRDefault="0042648E" w:rsidP="0042648E">
      <w:pPr>
        <w:numPr>
          <w:ilvl w:val="12"/>
          <w:numId w:val="0"/>
        </w:numPr>
        <w:ind w:right="-93"/>
        <w:jc w:val="both"/>
        <w:rPr>
          <w:rFonts w:ascii="Noto Sans" w:eastAsia="Calibri" w:hAnsi="Noto Sans" w:cs="Noto Sans"/>
          <w:sz w:val="20"/>
          <w:szCs w:val="20"/>
          <w:lang w:val="es-MX" w:eastAsia="es-ES"/>
        </w:rPr>
      </w:pPr>
      <w:r w:rsidRPr="0042648E">
        <w:rPr>
          <w:rFonts w:ascii="Noto Sans" w:eastAsia="Calibri" w:hAnsi="Noto Sans" w:cs="Noto Sans"/>
          <w:sz w:val="20"/>
          <w:szCs w:val="20"/>
          <w:lang w:val="es-MX" w:eastAsia="es-ES"/>
        </w:rPr>
        <w:t xml:space="preserve">El proveedor adjudicado </w:t>
      </w:r>
      <w:r w:rsidRPr="0042648E">
        <w:rPr>
          <w:rFonts w:ascii="Noto Sans" w:eastAsia="Calibri" w:hAnsi="Noto Sans" w:cs="Noto Sans"/>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42648E">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20C56FEE" w14:textId="77777777" w:rsidR="0042648E" w:rsidRPr="0042648E" w:rsidRDefault="0042648E" w:rsidP="0042648E">
      <w:pPr>
        <w:numPr>
          <w:ilvl w:val="12"/>
          <w:numId w:val="0"/>
        </w:numPr>
        <w:ind w:right="-93"/>
        <w:jc w:val="both"/>
        <w:rPr>
          <w:rFonts w:ascii="Noto Sans" w:eastAsia="Calibri" w:hAnsi="Noto Sans" w:cs="Noto Sans"/>
          <w:sz w:val="20"/>
          <w:szCs w:val="20"/>
          <w:lang w:val="es-MX" w:eastAsia="es-ES"/>
        </w:rPr>
      </w:pPr>
      <w:r w:rsidRPr="0042648E">
        <w:rPr>
          <w:rFonts w:ascii="Noto Sans" w:eastAsia="Calibri" w:hAnsi="Noto Sans" w:cs="Noto Sans"/>
          <w:sz w:val="20"/>
          <w:szCs w:val="20"/>
          <w:lang w:val="es-MX" w:eastAsia="es-ES"/>
        </w:rPr>
        <w:t>El empaque principal deberá de mostrar:</w:t>
      </w:r>
    </w:p>
    <w:p w14:paraId="5163CE4F" w14:textId="77777777" w:rsidR="0042648E" w:rsidRPr="0042648E" w:rsidRDefault="0042648E" w:rsidP="0042648E">
      <w:pPr>
        <w:pStyle w:val="Prrafodelista"/>
        <w:numPr>
          <w:ilvl w:val="0"/>
          <w:numId w:val="3"/>
        </w:numPr>
        <w:ind w:left="1418"/>
        <w:jc w:val="both"/>
        <w:rPr>
          <w:rFonts w:ascii="Noto Sans" w:hAnsi="Noto Sans" w:cs="Noto Sans"/>
          <w:noProof/>
          <w:sz w:val="20"/>
          <w:szCs w:val="20"/>
        </w:rPr>
      </w:pPr>
      <w:r w:rsidRPr="0042648E">
        <w:rPr>
          <w:rFonts w:ascii="Noto Sans" w:hAnsi="Noto Sans" w:cs="Noto Sans"/>
          <w:noProof/>
          <w:sz w:val="20"/>
          <w:szCs w:val="20"/>
        </w:rPr>
        <w:t>Clave y descripción del bien.</w:t>
      </w:r>
    </w:p>
    <w:p w14:paraId="7CEE8629" w14:textId="77777777" w:rsidR="0042648E" w:rsidRPr="0042648E" w:rsidRDefault="0042648E" w:rsidP="0042648E">
      <w:pPr>
        <w:pStyle w:val="Prrafodelista"/>
        <w:numPr>
          <w:ilvl w:val="0"/>
          <w:numId w:val="3"/>
        </w:numPr>
        <w:ind w:left="1418"/>
        <w:jc w:val="both"/>
        <w:rPr>
          <w:rFonts w:ascii="Noto Sans" w:hAnsi="Noto Sans" w:cs="Noto Sans"/>
          <w:noProof/>
          <w:sz w:val="20"/>
          <w:szCs w:val="20"/>
        </w:rPr>
      </w:pPr>
      <w:r w:rsidRPr="0042648E">
        <w:rPr>
          <w:rFonts w:ascii="Noto Sans" w:hAnsi="Noto Sans" w:cs="Noto Sans"/>
          <w:noProof/>
          <w:sz w:val="20"/>
          <w:szCs w:val="20"/>
        </w:rPr>
        <w:t>Número de lote.</w:t>
      </w:r>
    </w:p>
    <w:p w14:paraId="659DCE73" w14:textId="77777777" w:rsidR="0042648E" w:rsidRPr="0042648E" w:rsidRDefault="0042648E" w:rsidP="0042648E">
      <w:pPr>
        <w:pStyle w:val="Prrafodelista"/>
        <w:numPr>
          <w:ilvl w:val="0"/>
          <w:numId w:val="3"/>
        </w:numPr>
        <w:ind w:left="1418"/>
        <w:jc w:val="both"/>
        <w:rPr>
          <w:rFonts w:ascii="Noto Sans" w:hAnsi="Noto Sans" w:cs="Noto Sans"/>
          <w:noProof/>
          <w:sz w:val="20"/>
          <w:szCs w:val="20"/>
        </w:rPr>
      </w:pPr>
      <w:r w:rsidRPr="0042648E">
        <w:rPr>
          <w:rFonts w:ascii="Noto Sans" w:hAnsi="Noto Sans" w:cs="Noto Sans"/>
          <w:noProof/>
          <w:sz w:val="20"/>
          <w:szCs w:val="20"/>
        </w:rPr>
        <w:t>Número del contrato.</w:t>
      </w:r>
    </w:p>
    <w:p w14:paraId="7205FFD8" w14:textId="77777777" w:rsidR="0042648E" w:rsidRPr="0042648E" w:rsidRDefault="0042648E" w:rsidP="0042648E">
      <w:pPr>
        <w:pStyle w:val="Prrafodelista"/>
        <w:numPr>
          <w:ilvl w:val="0"/>
          <w:numId w:val="3"/>
        </w:numPr>
        <w:ind w:left="1418"/>
        <w:jc w:val="both"/>
        <w:rPr>
          <w:rFonts w:ascii="Noto Sans" w:hAnsi="Noto Sans" w:cs="Noto Sans"/>
          <w:noProof/>
          <w:sz w:val="20"/>
          <w:szCs w:val="20"/>
        </w:rPr>
      </w:pPr>
      <w:r w:rsidRPr="0042648E">
        <w:rPr>
          <w:rFonts w:ascii="Noto Sans" w:hAnsi="Noto Sans" w:cs="Noto Sans"/>
          <w:noProof/>
          <w:sz w:val="20"/>
          <w:szCs w:val="20"/>
        </w:rPr>
        <w:t>Nombre o denominación del fabricante.</w:t>
      </w:r>
    </w:p>
    <w:p w14:paraId="6B34FB26" w14:textId="77777777" w:rsidR="0042648E" w:rsidRPr="0042648E" w:rsidRDefault="0042648E" w:rsidP="0042648E">
      <w:pPr>
        <w:pStyle w:val="Prrafodelista"/>
        <w:numPr>
          <w:ilvl w:val="0"/>
          <w:numId w:val="3"/>
        </w:numPr>
        <w:ind w:left="1418"/>
        <w:jc w:val="both"/>
        <w:rPr>
          <w:rFonts w:ascii="Noto Sans" w:hAnsi="Noto Sans" w:cs="Noto Sans"/>
          <w:noProof/>
          <w:sz w:val="20"/>
          <w:szCs w:val="20"/>
        </w:rPr>
      </w:pPr>
      <w:r w:rsidRPr="0042648E">
        <w:rPr>
          <w:rFonts w:ascii="Noto Sans" w:hAnsi="Noto Sans" w:cs="Noto Sans"/>
          <w:noProof/>
          <w:sz w:val="20"/>
          <w:szCs w:val="20"/>
        </w:rPr>
        <w:t>Nombre o denominación del proveedor.</w:t>
      </w:r>
    </w:p>
    <w:p w14:paraId="6A93E068" w14:textId="77777777" w:rsidR="0042648E" w:rsidRPr="0042648E" w:rsidRDefault="0042648E" w:rsidP="0042648E">
      <w:pPr>
        <w:numPr>
          <w:ilvl w:val="12"/>
          <w:numId w:val="0"/>
        </w:numPr>
        <w:ind w:left="708" w:right="-93" w:firstLine="708"/>
        <w:jc w:val="both"/>
        <w:rPr>
          <w:rFonts w:ascii="Noto Sans" w:eastAsia="Calibri" w:hAnsi="Noto Sans" w:cs="Noto Sans"/>
          <w:sz w:val="20"/>
          <w:szCs w:val="20"/>
          <w:lang w:val="es-MX" w:eastAsia="es-ES"/>
        </w:rPr>
      </w:pPr>
      <w:r w:rsidRPr="0042648E">
        <w:rPr>
          <w:rFonts w:ascii="Noto Sans" w:hAnsi="Noto Sans" w:cs="Noto Sans"/>
          <w:noProof/>
          <w:sz w:val="20"/>
          <w:szCs w:val="20"/>
        </w:rPr>
        <w:t>Fecha de caducidad</w:t>
      </w:r>
    </w:p>
    <w:p w14:paraId="4614DC82" w14:textId="77777777" w:rsidR="0042648E" w:rsidRPr="0042648E" w:rsidRDefault="0042648E" w:rsidP="0042648E">
      <w:pPr>
        <w:numPr>
          <w:ilvl w:val="12"/>
          <w:numId w:val="0"/>
        </w:numPr>
        <w:ind w:right="-93"/>
        <w:jc w:val="both"/>
        <w:rPr>
          <w:rFonts w:ascii="Noto Sans" w:hAnsi="Noto Sans" w:cs="Noto Sans"/>
          <w:sz w:val="20"/>
          <w:szCs w:val="20"/>
          <w:lang w:val="es-MX"/>
        </w:rPr>
      </w:pPr>
    </w:p>
    <w:p w14:paraId="295C4231" w14:textId="48CD86A6" w:rsidR="0042648E" w:rsidRPr="0042648E" w:rsidRDefault="0042648E" w:rsidP="0042648E">
      <w:pPr>
        <w:numPr>
          <w:ilvl w:val="12"/>
          <w:numId w:val="0"/>
        </w:numPr>
        <w:ind w:right="-93"/>
        <w:jc w:val="both"/>
        <w:rPr>
          <w:rFonts w:ascii="Noto Sans" w:hAnsi="Noto Sans" w:cs="Noto Sans"/>
          <w:i/>
          <w:sz w:val="20"/>
          <w:szCs w:val="20"/>
          <w:lang w:val="es-MX"/>
        </w:rPr>
      </w:pPr>
      <w:r w:rsidRPr="0042648E">
        <w:rPr>
          <w:rFonts w:ascii="Noto Sans" w:hAnsi="Noto Sans" w:cs="Noto Sans"/>
          <w:i/>
          <w:sz w:val="20"/>
          <w:szCs w:val="20"/>
          <w:lang w:val="es-MX"/>
        </w:rPr>
        <w:t xml:space="preserve">Para las bolsas de recolección partidas </w:t>
      </w:r>
      <w:r w:rsidR="00CC4C3E">
        <w:rPr>
          <w:rFonts w:ascii="Noto Sans" w:hAnsi="Noto Sans" w:cs="Noto Sans"/>
          <w:i/>
          <w:sz w:val="20"/>
          <w:szCs w:val="20"/>
          <w:lang w:val="es-MX"/>
        </w:rPr>
        <w:t>1,2 y 3</w:t>
      </w:r>
      <w:bookmarkStart w:id="0" w:name="_GoBack"/>
      <w:bookmarkEnd w:id="0"/>
      <w:r w:rsidRPr="0042648E">
        <w:rPr>
          <w:rFonts w:ascii="Noto Sans" w:hAnsi="Noto Sans" w:cs="Noto Sans"/>
          <w:i/>
          <w:sz w:val="20"/>
          <w:szCs w:val="20"/>
          <w:lang w:val="es-MX"/>
        </w:rPr>
        <w:t xml:space="preserve">; Se deberán de entregar 100 </w:t>
      </w:r>
      <w:proofErr w:type="spellStart"/>
      <w:r w:rsidRPr="0042648E">
        <w:rPr>
          <w:rFonts w:ascii="Noto Sans" w:hAnsi="Noto Sans" w:cs="Noto Sans"/>
          <w:i/>
          <w:sz w:val="20"/>
          <w:szCs w:val="20"/>
          <w:lang w:val="es-MX"/>
        </w:rPr>
        <w:t>canasters</w:t>
      </w:r>
      <w:proofErr w:type="spellEnd"/>
      <w:r w:rsidRPr="0042648E">
        <w:rPr>
          <w:rFonts w:ascii="Noto Sans" w:hAnsi="Noto Sans" w:cs="Noto Sans"/>
          <w:i/>
          <w:sz w:val="20"/>
          <w:szCs w:val="20"/>
          <w:lang w:val="es-MX"/>
        </w:rPr>
        <w:t xml:space="preserve"> con los soportes requeridos para su utilización, los cuales  deben de contar con: Válvula Unidireccional </w:t>
      </w:r>
      <w:proofErr w:type="spellStart"/>
      <w:r w:rsidRPr="0042648E">
        <w:rPr>
          <w:rFonts w:ascii="Noto Sans" w:hAnsi="Noto Sans" w:cs="Noto Sans"/>
          <w:i/>
          <w:sz w:val="20"/>
          <w:szCs w:val="20"/>
          <w:lang w:val="es-MX"/>
        </w:rPr>
        <w:t>antirreflujo</w:t>
      </w:r>
      <w:proofErr w:type="spellEnd"/>
      <w:r w:rsidRPr="0042648E">
        <w:rPr>
          <w:rFonts w:ascii="Noto Sans" w:hAnsi="Noto Sans" w:cs="Noto Sans"/>
          <w:i/>
          <w:sz w:val="20"/>
          <w:szCs w:val="20"/>
          <w:lang w:val="es-MX"/>
        </w:rPr>
        <w:t xml:space="preserve">, Puerto Opcional, Puerto Vacío, Puerto para Paciente, Llave de control de Vacío, Conexión a sistema de Vacío, Bolsa de recolectora de Secreciones, </w:t>
      </w:r>
      <w:proofErr w:type="spellStart"/>
      <w:r w:rsidRPr="0042648E">
        <w:rPr>
          <w:rFonts w:ascii="Noto Sans" w:hAnsi="Noto Sans" w:cs="Noto Sans"/>
          <w:i/>
          <w:sz w:val="20"/>
          <w:szCs w:val="20"/>
          <w:lang w:val="es-MX"/>
        </w:rPr>
        <w:t>Canister</w:t>
      </w:r>
      <w:proofErr w:type="spellEnd"/>
      <w:r w:rsidRPr="0042648E">
        <w:rPr>
          <w:rFonts w:ascii="Noto Sans" w:hAnsi="Noto Sans" w:cs="Noto Sans"/>
          <w:i/>
          <w:sz w:val="20"/>
          <w:szCs w:val="20"/>
          <w:lang w:val="es-MX"/>
        </w:rPr>
        <w:t xml:space="preserve">, Válvula de corte Interna, Filtro </w:t>
      </w:r>
      <w:proofErr w:type="spellStart"/>
      <w:r w:rsidRPr="0042648E">
        <w:rPr>
          <w:rFonts w:ascii="Noto Sans" w:hAnsi="Noto Sans" w:cs="Noto Sans"/>
          <w:i/>
          <w:sz w:val="20"/>
          <w:szCs w:val="20"/>
          <w:lang w:val="es-MX"/>
        </w:rPr>
        <w:t>ithat</w:t>
      </w:r>
      <w:proofErr w:type="spellEnd"/>
      <w:r w:rsidRPr="0042648E">
        <w:rPr>
          <w:rFonts w:ascii="Noto Sans" w:hAnsi="Noto Sans" w:cs="Noto Sans"/>
          <w:i/>
          <w:sz w:val="20"/>
          <w:szCs w:val="20"/>
          <w:lang w:val="es-MX"/>
        </w:rPr>
        <w:t xml:space="preserve">, conexión para tándem. Sistema de Identificación Hospitalaria QR y alfanumérica. </w:t>
      </w:r>
    </w:p>
    <w:p w14:paraId="536418E8" w14:textId="77777777" w:rsidR="0042648E" w:rsidRPr="0042648E" w:rsidRDefault="0042648E" w:rsidP="0042648E">
      <w:pPr>
        <w:numPr>
          <w:ilvl w:val="12"/>
          <w:numId w:val="0"/>
        </w:numPr>
        <w:ind w:right="-93"/>
        <w:jc w:val="both"/>
        <w:rPr>
          <w:rFonts w:ascii="Noto Sans" w:eastAsia="Calibri" w:hAnsi="Noto Sans" w:cs="Noto Sans"/>
          <w:i/>
          <w:sz w:val="20"/>
          <w:szCs w:val="20"/>
          <w:lang w:val="es-MX" w:eastAsia="es-ES"/>
        </w:rPr>
      </w:pPr>
      <w:r w:rsidRPr="0042648E">
        <w:rPr>
          <w:rFonts w:ascii="Noto Sans" w:hAnsi="Noto Sans" w:cs="Noto Sans"/>
          <w:i/>
          <w:sz w:val="20"/>
          <w:szCs w:val="20"/>
          <w:lang w:val="es-MX"/>
        </w:rPr>
        <w:t>Se deberán de entregar a más tardar el día de la firma del contrato. Su entrega se dará a la dirección de Enfermería y será supervisada y  documentada por la división de ingeniería biomédica y/o el administrador del contrato.</w:t>
      </w:r>
    </w:p>
    <w:p w14:paraId="421C6495" w14:textId="77777777" w:rsidR="0042648E" w:rsidRPr="0042648E" w:rsidRDefault="0042648E" w:rsidP="0042648E">
      <w:pPr>
        <w:numPr>
          <w:ilvl w:val="12"/>
          <w:numId w:val="0"/>
        </w:numPr>
        <w:ind w:right="-93"/>
        <w:jc w:val="both"/>
        <w:rPr>
          <w:rFonts w:ascii="Noto Sans" w:eastAsia="Calibri" w:hAnsi="Noto Sans" w:cs="Noto Sans"/>
          <w:color w:val="FF0000"/>
          <w:sz w:val="20"/>
          <w:szCs w:val="20"/>
          <w:lang w:val="es-MX" w:eastAsia="es-ES"/>
        </w:rPr>
      </w:pPr>
    </w:p>
    <w:p w14:paraId="564B7BF9" w14:textId="77777777" w:rsidR="0042648E" w:rsidRPr="0042648E" w:rsidRDefault="0042648E" w:rsidP="0042648E">
      <w:pPr>
        <w:jc w:val="both"/>
        <w:rPr>
          <w:rFonts w:ascii="Noto Sans" w:hAnsi="Noto Sans" w:cs="Noto Sans"/>
          <w:sz w:val="20"/>
          <w:szCs w:val="20"/>
          <w:lang w:val="es-MX"/>
        </w:rPr>
      </w:pPr>
      <w:r w:rsidRPr="0042648E">
        <w:rPr>
          <w:rFonts w:ascii="Noto Sans" w:hAnsi="Noto Sans" w:cs="Noto Sans"/>
          <w:b/>
          <w:sz w:val="20"/>
          <w:szCs w:val="20"/>
          <w:lang w:val="es-MX"/>
        </w:rPr>
        <w:t>-Contacto:</w:t>
      </w:r>
      <w:r w:rsidRPr="0042648E">
        <w:rPr>
          <w:rFonts w:ascii="Noto Sans" w:hAnsi="Noto Sans" w:cs="Noto Sans"/>
          <w:sz w:val="20"/>
          <w:szCs w:val="20"/>
          <w:lang w:val="es-MX"/>
        </w:rPr>
        <w:t xml:space="preserve"> Se deberá de solicitar un contacto telefónico y por correo electrónico para notificaciones.</w:t>
      </w:r>
    </w:p>
    <w:p w14:paraId="28DFE31D" w14:textId="77777777" w:rsidR="0042648E" w:rsidRPr="0042648E" w:rsidRDefault="0042648E" w:rsidP="0042648E">
      <w:pPr>
        <w:autoSpaceDE w:val="0"/>
        <w:autoSpaceDN w:val="0"/>
        <w:adjustRightInd w:val="0"/>
        <w:jc w:val="both"/>
        <w:rPr>
          <w:rFonts w:ascii="Noto Sans" w:eastAsiaTheme="minorHAnsi" w:hAnsi="Noto Sans" w:cs="Noto Sans"/>
          <w:b/>
          <w:sz w:val="20"/>
          <w:szCs w:val="20"/>
          <w:lang w:val="es-MX"/>
        </w:rPr>
      </w:pPr>
    </w:p>
    <w:p w14:paraId="30189957" w14:textId="77777777" w:rsidR="0042648E" w:rsidRPr="0042648E" w:rsidRDefault="0042648E" w:rsidP="0042648E">
      <w:pPr>
        <w:autoSpaceDE w:val="0"/>
        <w:autoSpaceDN w:val="0"/>
        <w:adjustRightInd w:val="0"/>
        <w:jc w:val="both"/>
        <w:rPr>
          <w:rFonts w:ascii="Noto Sans" w:eastAsia="Calibri" w:hAnsi="Noto Sans" w:cs="Noto Sans"/>
          <w:sz w:val="20"/>
          <w:szCs w:val="20"/>
          <w:lang w:eastAsia="es-ES"/>
        </w:rPr>
      </w:pPr>
      <w:r w:rsidRPr="0042648E">
        <w:rPr>
          <w:rFonts w:ascii="Noto Sans" w:eastAsiaTheme="minorHAnsi" w:hAnsi="Noto Sans" w:cs="Noto Sans"/>
          <w:b/>
          <w:sz w:val="20"/>
          <w:szCs w:val="20"/>
          <w:lang w:val="es-MX"/>
        </w:rPr>
        <w:t>C- Criterio de Evaluación: Binaria</w:t>
      </w:r>
    </w:p>
    <w:p w14:paraId="3ABF7539" w14:textId="77777777" w:rsidR="0042648E" w:rsidRPr="0042648E" w:rsidRDefault="0042648E" w:rsidP="0042648E">
      <w:pPr>
        <w:autoSpaceDE w:val="0"/>
        <w:autoSpaceDN w:val="0"/>
        <w:adjustRightInd w:val="0"/>
        <w:jc w:val="both"/>
        <w:rPr>
          <w:rFonts w:ascii="Noto Sans" w:eastAsia="Calibri" w:hAnsi="Noto Sans" w:cs="Noto Sans"/>
          <w:sz w:val="20"/>
          <w:szCs w:val="20"/>
          <w:lang w:eastAsia="es-ES"/>
        </w:rPr>
      </w:pPr>
    </w:p>
    <w:p w14:paraId="5E00E4A5" w14:textId="77777777" w:rsidR="0042648E" w:rsidRPr="0042648E" w:rsidRDefault="0042648E" w:rsidP="0042648E">
      <w:pPr>
        <w:jc w:val="both"/>
        <w:rPr>
          <w:rFonts w:ascii="Noto Sans" w:hAnsi="Noto Sans" w:cs="Noto Sans"/>
          <w:sz w:val="20"/>
          <w:szCs w:val="20"/>
        </w:rPr>
      </w:pPr>
      <w:r w:rsidRPr="0042648E">
        <w:rPr>
          <w:rFonts w:ascii="Noto Sans" w:eastAsiaTheme="minorHAnsi" w:hAnsi="Noto Sans" w:cs="Noto Sans"/>
          <w:b/>
          <w:sz w:val="20"/>
          <w:szCs w:val="20"/>
          <w:lang w:val="es-MX"/>
        </w:rPr>
        <w:t xml:space="preserve">D-Licencias, permisos, registros, certificados o autorizaciones que debe </w:t>
      </w:r>
      <w:proofErr w:type="spellStart"/>
      <w:r w:rsidRPr="0042648E">
        <w:rPr>
          <w:rFonts w:ascii="Noto Sans" w:eastAsiaTheme="minorHAnsi" w:hAnsi="Noto Sans" w:cs="Noto Sans"/>
          <w:b/>
          <w:sz w:val="20"/>
          <w:szCs w:val="20"/>
          <w:lang w:val="es-MX"/>
        </w:rPr>
        <w:t>cumpli</w:t>
      </w:r>
      <w:proofErr w:type="spellEnd"/>
      <w:r w:rsidRPr="0042648E">
        <w:rPr>
          <w:rFonts w:ascii="Noto Sans" w:hAnsi="Noto Sans" w:cs="Noto Sans"/>
          <w:b/>
          <w:sz w:val="20"/>
          <w:szCs w:val="20"/>
        </w:rPr>
        <w:t>r</w:t>
      </w:r>
      <w:r w:rsidRPr="0042648E">
        <w:rPr>
          <w:rFonts w:ascii="Noto Sans" w:hAnsi="Noto Sans" w:cs="Noto Sans"/>
          <w:sz w:val="20"/>
          <w:szCs w:val="20"/>
        </w:rPr>
        <w:t xml:space="preserve"> Registro Sanitario y/o norma IEC/EN 60601-1 (norma de seguridad de dispositivos médicos) con la última actualización en el 2020.</w:t>
      </w:r>
    </w:p>
    <w:p w14:paraId="63507F15" w14:textId="77777777" w:rsidR="0042648E" w:rsidRPr="0042648E" w:rsidRDefault="0042648E" w:rsidP="0042648E">
      <w:pPr>
        <w:autoSpaceDE w:val="0"/>
        <w:autoSpaceDN w:val="0"/>
        <w:adjustRightInd w:val="0"/>
        <w:jc w:val="both"/>
        <w:rPr>
          <w:rFonts w:ascii="Noto Sans" w:eastAsiaTheme="minorHAnsi" w:hAnsi="Noto Sans" w:cs="Noto Sans"/>
          <w:b/>
          <w:sz w:val="20"/>
          <w:szCs w:val="20"/>
          <w:lang w:val="es-MX"/>
        </w:rPr>
      </w:pPr>
    </w:p>
    <w:p w14:paraId="22282D1C" w14:textId="77777777" w:rsidR="0042648E" w:rsidRPr="0042648E" w:rsidRDefault="0042648E" w:rsidP="0042648E">
      <w:pPr>
        <w:autoSpaceDE w:val="0"/>
        <w:autoSpaceDN w:val="0"/>
        <w:adjustRightInd w:val="0"/>
        <w:jc w:val="both"/>
        <w:rPr>
          <w:rFonts w:ascii="Noto Sans" w:eastAsiaTheme="minorHAnsi" w:hAnsi="Noto Sans" w:cs="Noto Sans"/>
          <w:b/>
          <w:sz w:val="20"/>
          <w:szCs w:val="20"/>
          <w:lang w:val="es-MX"/>
        </w:rPr>
      </w:pPr>
      <w:r w:rsidRPr="0042648E">
        <w:rPr>
          <w:rFonts w:ascii="Noto Sans" w:eastAsiaTheme="minorHAnsi" w:hAnsi="Noto Sans" w:cs="Noto Sans"/>
          <w:b/>
          <w:sz w:val="20"/>
          <w:szCs w:val="20"/>
          <w:lang w:val="es-MX"/>
        </w:rPr>
        <w:t xml:space="preserve">E- Documentación técnica: </w:t>
      </w:r>
      <w:r w:rsidRPr="0042648E">
        <w:rPr>
          <w:rFonts w:ascii="Noto Sans" w:eastAsiaTheme="minorHAnsi" w:hAnsi="Noto Sans" w:cs="Noto Sans"/>
          <w:sz w:val="20"/>
          <w:szCs w:val="20"/>
          <w:lang w:val="es-MX"/>
        </w:rPr>
        <w:t xml:space="preserve">Folletos de fabricante para comprobar sus especificaciones del consumible y en su caso equipo asociado. </w:t>
      </w:r>
    </w:p>
    <w:p w14:paraId="7A5754E6" w14:textId="77777777" w:rsidR="0042648E" w:rsidRPr="0042648E" w:rsidRDefault="0042648E" w:rsidP="0042648E">
      <w:pPr>
        <w:autoSpaceDE w:val="0"/>
        <w:autoSpaceDN w:val="0"/>
        <w:adjustRightInd w:val="0"/>
        <w:jc w:val="both"/>
        <w:rPr>
          <w:rFonts w:ascii="Noto Sans" w:eastAsiaTheme="minorHAnsi" w:hAnsi="Noto Sans" w:cs="Noto Sans"/>
          <w:sz w:val="20"/>
          <w:szCs w:val="20"/>
          <w:lang w:val="es-MX"/>
        </w:rPr>
      </w:pPr>
    </w:p>
    <w:p w14:paraId="0360F192" w14:textId="77777777" w:rsidR="0042648E" w:rsidRPr="0042648E" w:rsidRDefault="0042648E" w:rsidP="0042648E">
      <w:pPr>
        <w:autoSpaceDE w:val="0"/>
        <w:autoSpaceDN w:val="0"/>
        <w:adjustRightInd w:val="0"/>
        <w:jc w:val="both"/>
        <w:rPr>
          <w:rFonts w:ascii="Noto Sans" w:eastAsiaTheme="minorHAnsi" w:hAnsi="Noto Sans" w:cs="Noto Sans"/>
          <w:sz w:val="20"/>
          <w:szCs w:val="20"/>
          <w:lang w:val="es-MX"/>
        </w:rPr>
      </w:pPr>
      <w:r w:rsidRPr="0042648E">
        <w:rPr>
          <w:rFonts w:ascii="Noto Sans" w:eastAsiaTheme="minorHAnsi" w:hAnsi="Noto Sans" w:cs="Noto Sans"/>
          <w:b/>
          <w:sz w:val="20"/>
          <w:szCs w:val="20"/>
          <w:lang w:val="es-MX"/>
        </w:rPr>
        <w:t>F/G-</w:t>
      </w:r>
      <w:r w:rsidRPr="0042648E">
        <w:rPr>
          <w:rFonts w:ascii="Noto Sans" w:eastAsiaTheme="minorHAnsi" w:hAnsi="Noto Sans" w:cs="Noto Sans"/>
          <w:sz w:val="20"/>
          <w:szCs w:val="20"/>
          <w:lang w:val="es-MX"/>
        </w:rPr>
        <w:t xml:space="preserve"> No se requieren Visitas a las instalaciones institucionales donde se suministrarán o colocarán los bienes o donde se prestarán los servicios. </w:t>
      </w:r>
    </w:p>
    <w:p w14:paraId="392024D0" w14:textId="77777777" w:rsidR="0042648E" w:rsidRPr="0042648E" w:rsidRDefault="0042648E" w:rsidP="0042648E">
      <w:pPr>
        <w:autoSpaceDE w:val="0"/>
        <w:autoSpaceDN w:val="0"/>
        <w:adjustRightInd w:val="0"/>
        <w:jc w:val="both"/>
        <w:rPr>
          <w:rFonts w:ascii="Noto Sans" w:eastAsiaTheme="minorHAnsi" w:hAnsi="Noto Sans" w:cs="Noto Sans"/>
          <w:b/>
          <w:sz w:val="20"/>
          <w:szCs w:val="20"/>
          <w:lang w:val="es-MX"/>
        </w:rPr>
      </w:pPr>
    </w:p>
    <w:p w14:paraId="213110F0" w14:textId="77777777" w:rsidR="0042648E" w:rsidRPr="0042648E" w:rsidRDefault="0042648E" w:rsidP="0042648E">
      <w:pPr>
        <w:autoSpaceDE w:val="0"/>
        <w:autoSpaceDN w:val="0"/>
        <w:adjustRightInd w:val="0"/>
        <w:jc w:val="both"/>
        <w:rPr>
          <w:rFonts w:ascii="Noto Sans" w:eastAsiaTheme="minorHAnsi" w:hAnsi="Noto Sans" w:cs="Noto Sans"/>
          <w:sz w:val="20"/>
          <w:szCs w:val="20"/>
          <w:lang w:val="es-MX"/>
        </w:rPr>
      </w:pPr>
      <w:r w:rsidRPr="0042648E">
        <w:rPr>
          <w:rFonts w:ascii="Noto Sans" w:eastAsiaTheme="minorHAnsi" w:hAnsi="Noto Sans" w:cs="Noto Sans"/>
          <w:b/>
          <w:sz w:val="20"/>
          <w:szCs w:val="20"/>
          <w:lang w:val="es-MX"/>
        </w:rPr>
        <w:t>H- Las penas convencionales</w:t>
      </w:r>
      <w:r w:rsidRPr="0042648E">
        <w:rPr>
          <w:rFonts w:ascii="Noto Sans" w:eastAsiaTheme="minorHAnsi" w:hAnsi="Noto Sans" w:cs="Noto Sans"/>
          <w:sz w:val="20"/>
          <w:szCs w:val="20"/>
          <w:lang w:val="es-MX"/>
        </w:rPr>
        <w:t xml:space="preserve"> y deducciones al pago de conformidad con lo dispuesto en el lineamiento 5.5.8 de las presentes POBALINES. </w:t>
      </w:r>
    </w:p>
    <w:p w14:paraId="726384B3" w14:textId="77777777" w:rsidR="0042648E" w:rsidRPr="0042648E" w:rsidRDefault="0042648E" w:rsidP="0042648E">
      <w:pPr>
        <w:numPr>
          <w:ilvl w:val="12"/>
          <w:numId w:val="0"/>
        </w:numPr>
        <w:jc w:val="both"/>
        <w:rPr>
          <w:rFonts w:ascii="Noto Sans" w:eastAsia="Calibri" w:hAnsi="Noto Sans" w:cs="Noto Sans"/>
          <w:bCs/>
          <w:sz w:val="20"/>
          <w:szCs w:val="20"/>
          <w:lang w:eastAsia="es-ES"/>
        </w:rPr>
      </w:pPr>
      <w:r w:rsidRPr="0042648E">
        <w:rPr>
          <w:rFonts w:ascii="Noto Sans" w:eastAsiaTheme="minorHAnsi" w:hAnsi="Noto Sans" w:cs="Noto Sans"/>
          <w:sz w:val="20"/>
          <w:szCs w:val="20"/>
          <w:lang w:val="es-MX"/>
        </w:rPr>
        <w:t xml:space="preserve">     </w:t>
      </w:r>
      <w:r w:rsidRPr="0042648E">
        <w:rPr>
          <w:rFonts w:ascii="Noto Sans" w:eastAsia="Calibri" w:hAnsi="Noto Sans" w:cs="Noto Sans"/>
          <w:b/>
          <w:sz w:val="20"/>
          <w:szCs w:val="20"/>
          <w:lang w:val="es-MX" w:eastAsia="es-ES"/>
        </w:rPr>
        <w:t xml:space="preserve">En las </w:t>
      </w:r>
      <w:r w:rsidRPr="0042648E">
        <w:rPr>
          <w:rFonts w:ascii="Noto Sans" w:eastAsia="Calibri" w:hAnsi="Noto Sans" w:cs="Noto Sans"/>
          <w:b/>
          <w:bCs/>
          <w:sz w:val="20"/>
          <w:szCs w:val="20"/>
          <w:lang w:eastAsia="es-ES"/>
        </w:rPr>
        <w:t>penas convencionales</w:t>
      </w:r>
      <w:r w:rsidRPr="0042648E">
        <w:rPr>
          <w:rFonts w:ascii="Noto Sans" w:eastAsia="Calibri" w:hAnsi="Noto Sans" w:cs="Noto Sans"/>
          <w:bCs/>
          <w:sz w:val="20"/>
          <w:szCs w:val="20"/>
          <w:lang w:eastAsia="es-ES"/>
        </w:rPr>
        <w:t xml:space="preserve"> por atraso en la entrega de los </w:t>
      </w:r>
      <w:r w:rsidRPr="0042648E">
        <w:rPr>
          <w:rFonts w:ascii="Noto Sans" w:eastAsia="Calibri" w:hAnsi="Noto Sans" w:cs="Noto Sans"/>
          <w:b/>
          <w:bCs/>
          <w:sz w:val="20"/>
          <w:szCs w:val="20"/>
          <w:lang w:eastAsia="es-ES"/>
        </w:rPr>
        <w:t>consumibles adjudicados,</w:t>
      </w:r>
      <w:r w:rsidRPr="0042648E">
        <w:rPr>
          <w:rFonts w:ascii="Noto Sans" w:eastAsia="Calibri" w:hAnsi="Noto Sans" w:cs="Noto Sans"/>
          <w:bCs/>
          <w:sz w:val="20"/>
          <w:szCs w:val="20"/>
          <w:lang w:eastAsia="es-ES"/>
        </w:rPr>
        <w:t xml:space="preserve"> la UMAE</w:t>
      </w:r>
      <w:r w:rsidRPr="0042648E">
        <w:rPr>
          <w:rFonts w:ascii="Noto Sans" w:eastAsia="Calibri" w:hAnsi="Noto Sans" w:cs="Noto Sans"/>
          <w:bCs/>
          <w:sz w:val="20"/>
          <w:szCs w:val="20"/>
          <w:lang w:val="es-MX" w:eastAsia="es-ES"/>
        </w:rPr>
        <w:t xml:space="preserve"> </w:t>
      </w:r>
      <w:r w:rsidRPr="0042648E">
        <w:rPr>
          <w:rFonts w:ascii="Noto Sans" w:eastAsia="Calibri" w:hAnsi="Noto Sans" w:cs="Noto Sans"/>
          <w:bCs/>
          <w:sz w:val="20"/>
          <w:szCs w:val="20"/>
          <w:lang w:eastAsia="es-ES"/>
        </w:rPr>
        <w:t xml:space="preserve">aplicará penalizaciones </w:t>
      </w:r>
      <w:r w:rsidRPr="0042648E">
        <w:rPr>
          <w:rFonts w:ascii="Noto Sans" w:eastAsia="Calibri" w:hAnsi="Noto Sans" w:cs="Noto Sans"/>
          <w:b/>
          <w:bCs/>
          <w:sz w:val="20"/>
          <w:szCs w:val="20"/>
          <w:u w:val="single"/>
          <w:lang w:eastAsia="es-ES"/>
        </w:rPr>
        <w:t>del 1 % diario</w:t>
      </w:r>
      <w:r w:rsidRPr="0042648E">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53 de la ley de adquisiciones, arrendamientos y servicios del sector público. </w:t>
      </w:r>
    </w:p>
    <w:p w14:paraId="6EE6CC19" w14:textId="77777777" w:rsidR="0042648E" w:rsidRPr="0042648E" w:rsidRDefault="0042648E" w:rsidP="0042648E">
      <w:pPr>
        <w:numPr>
          <w:ilvl w:val="0"/>
          <w:numId w:val="2"/>
        </w:numPr>
        <w:autoSpaceDE w:val="0"/>
        <w:autoSpaceDN w:val="0"/>
        <w:ind w:right="74"/>
        <w:jc w:val="both"/>
        <w:rPr>
          <w:rFonts w:ascii="Noto Sans" w:eastAsia="Times New Roman" w:hAnsi="Noto Sans" w:cs="Noto Sans"/>
          <w:bCs/>
          <w:sz w:val="20"/>
          <w:szCs w:val="20"/>
          <w:lang w:eastAsia="es-ES"/>
        </w:rPr>
      </w:pPr>
      <w:r w:rsidRPr="0042648E">
        <w:rPr>
          <w:rFonts w:ascii="Noto Sans" w:eastAsia="Times New Roman" w:hAnsi="Noto Sans" w:cs="Noto Sans"/>
          <w:bCs/>
          <w:sz w:val="20"/>
          <w:szCs w:val="20"/>
          <w:lang w:eastAsia="es-ES"/>
        </w:rPr>
        <w:t>cuando el proveedor adjudicado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2730CBB3" w14:textId="77777777" w:rsidR="0042648E" w:rsidRPr="0042648E" w:rsidRDefault="0042648E" w:rsidP="0042648E">
      <w:pPr>
        <w:numPr>
          <w:ilvl w:val="0"/>
          <w:numId w:val="2"/>
        </w:numPr>
        <w:suppressAutoHyphens/>
        <w:autoSpaceDE w:val="0"/>
        <w:jc w:val="both"/>
        <w:rPr>
          <w:rFonts w:ascii="Noto Sans" w:eastAsia="Times New Roman" w:hAnsi="Noto Sans" w:cs="Noto Sans"/>
          <w:bCs/>
          <w:sz w:val="20"/>
          <w:szCs w:val="20"/>
          <w:lang w:eastAsia="es-ES"/>
        </w:rPr>
      </w:pPr>
      <w:r w:rsidRPr="0042648E">
        <w:rPr>
          <w:rFonts w:ascii="Noto Sans" w:eastAsia="Times New Roman" w:hAnsi="Noto Sans" w:cs="Noto Sans"/>
          <w:bCs/>
          <w:sz w:val="20"/>
          <w:szCs w:val="20"/>
          <w:lang w:eastAsia="es-ES"/>
        </w:rPr>
        <w:t>cuando el proveedor adjudicado no reponga dentro del plazo señalado, los bienes que “el instituto” haya solicitado para su canje.</w:t>
      </w:r>
    </w:p>
    <w:p w14:paraId="16036C2B" w14:textId="77777777" w:rsidR="0042648E" w:rsidRPr="0042648E" w:rsidRDefault="0042648E" w:rsidP="0042648E">
      <w:pPr>
        <w:jc w:val="both"/>
        <w:rPr>
          <w:rFonts w:ascii="Noto Sans" w:eastAsia="Calibri" w:hAnsi="Noto Sans" w:cs="Noto Sans"/>
          <w:sz w:val="20"/>
          <w:szCs w:val="20"/>
          <w:lang w:val="es-MX" w:eastAsia="es-ES"/>
        </w:rPr>
      </w:pPr>
      <w:r w:rsidRPr="0042648E">
        <w:rPr>
          <w:rFonts w:ascii="Noto Sans" w:eastAsia="Calibri" w:hAnsi="Noto Sans" w:cs="Noto Sans"/>
          <w:sz w:val="20"/>
          <w:szCs w:val="20"/>
          <w:lang w:val="es-MX" w:eastAsia="es-ES"/>
        </w:rPr>
        <w:t xml:space="preserve">El monto máximo de aplicación de la pena convencional no podrá ser superior a la parte proporcional que corresponda al porcentaje de la garantía de cumplimiento del contrato para cada partida o concepto, por ningún concepto la aplicación de penas convencionales podrá exceder el importe de la garantía de cumplimiento del contrato. El proveedor adjudicado autorizará a </w:t>
      </w:r>
      <w:r w:rsidRPr="0042648E">
        <w:rPr>
          <w:rFonts w:ascii="Noto Sans" w:eastAsia="Calibri" w:hAnsi="Noto Sans" w:cs="Noto Sans"/>
          <w:bCs/>
          <w:sz w:val="20"/>
          <w:szCs w:val="20"/>
          <w:lang w:val="es-MX" w:eastAsia="es-ES"/>
        </w:rPr>
        <w:t xml:space="preserve">la UMAE </w:t>
      </w:r>
      <w:r w:rsidRPr="0042648E">
        <w:rPr>
          <w:rFonts w:ascii="Noto Sans" w:eastAsia="Calibri" w:hAnsi="Noto Sans" w:cs="Noto Sans"/>
          <w:sz w:val="20"/>
          <w:szCs w:val="20"/>
          <w:lang w:val="es-MX" w:eastAsia="es-ES"/>
        </w:rPr>
        <w:t xml:space="preserve">a descontar las cantidades que resulten de aplicar la pena convencional, sobre los pagos que deba cubrir al propio proveedor, conforme a lo previsto en el último párrafo del artículo 96, del reglamento de la ley de adquisiciones, arrendamientos y servicios del sector público, no se aceptará la estipulación de penas convencionales, ni intereses moratorios a cargo de </w:t>
      </w:r>
      <w:r w:rsidRPr="0042648E">
        <w:rPr>
          <w:rFonts w:ascii="Noto Sans" w:eastAsia="Calibri" w:hAnsi="Noto Sans" w:cs="Noto Sans"/>
          <w:bCs/>
          <w:sz w:val="20"/>
          <w:szCs w:val="20"/>
          <w:lang w:val="es-MX" w:eastAsia="es-ES"/>
        </w:rPr>
        <w:t>la UMAE</w:t>
      </w:r>
      <w:r w:rsidRPr="0042648E">
        <w:rPr>
          <w:rFonts w:ascii="Noto Sans" w:eastAsia="Calibri" w:hAnsi="Noto Sans" w:cs="Noto Sans"/>
          <w:sz w:val="20"/>
          <w:szCs w:val="20"/>
          <w:lang w:val="es-MX" w:eastAsia="es-ES"/>
        </w:rPr>
        <w:t>.</w:t>
      </w:r>
    </w:p>
    <w:p w14:paraId="1C5974CE" w14:textId="77777777" w:rsidR="0042648E" w:rsidRPr="0042648E" w:rsidRDefault="0042648E" w:rsidP="0042648E">
      <w:pPr>
        <w:autoSpaceDE w:val="0"/>
        <w:autoSpaceDN w:val="0"/>
        <w:adjustRightInd w:val="0"/>
        <w:jc w:val="both"/>
        <w:rPr>
          <w:rFonts w:ascii="Noto Sans" w:eastAsiaTheme="minorHAnsi" w:hAnsi="Noto Sans" w:cs="Noto Sans"/>
          <w:b/>
          <w:sz w:val="20"/>
          <w:szCs w:val="20"/>
          <w:lang w:val="es-MX"/>
        </w:rPr>
      </w:pPr>
    </w:p>
    <w:p w14:paraId="2EE2CBBE" w14:textId="77777777" w:rsidR="0042648E" w:rsidRPr="0042648E" w:rsidRDefault="0042648E" w:rsidP="0042648E">
      <w:pPr>
        <w:autoSpaceDE w:val="0"/>
        <w:autoSpaceDN w:val="0"/>
        <w:adjustRightInd w:val="0"/>
        <w:jc w:val="both"/>
        <w:rPr>
          <w:rFonts w:ascii="Noto Sans" w:hAnsi="Noto Sans" w:cs="Noto Sans"/>
          <w:sz w:val="20"/>
          <w:szCs w:val="20"/>
        </w:rPr>
      </w:pPr>
      <w:r w:rsidRPr="0042648E">
        <w:rPr>
          <w:rFonts w:ascii="Noto Sans" w:hAnsi="Noto Sans" w:cs="Noto Sans"/>
          <w:b/>
          <w:sz w:val="20"/>
          <w:szCs w:val="20"/>
        </w:rPr>
        <w:t xml:space="preserve">I- En su caso, mecanismos requeridos </w:t>
      </w:r>
      <w:r w:rsidRPr="0042648E">
        <w:rPr>
          <w:rFonts w:ascii="Noto Sans" w:hAnsi="Noto Sans" w:cs="Noto Sans"/>
          <w:sz w:val="20"/>
          <w:szCs w:val="20"/>
        </w:rPr>
        <w:t>al proveedor para responder por defectos o vicios ocultos de los bienes.</w:t>
      </w:r>
    </w:p>
    <w:p w14:paraId="4DAF07BF" w14:textId="77777777" w:rsidR="0042648E" w:rsidRPr="0042648E" w:rsidRDefault="0042648E" w:rsidP="0042648E">
      <w:pPr>
        <w:pStyle w:val="wordsection1"/>
        <w:jc w:val="both"/>
        <w:rPr>
          <w:rFonts w:ascii="Noto Sans" w:eastAsia="Calibri" w:hAnsi="Noto Sans" w:cs="Noto Sans"/>
          <w:bCs/>
          <w:sz w:val="20"/>
          <w:szCs w:val="20"/>
          <w:lang w:eastAsia="es-ES"/>
        </w:rPr>
      </w:pPr>
      <w:r w:rsidRPr="0042648E">
        <w:rPr>
          <w:rFonts w:ascii="Noto Sans" w:hAnsi="Noto Sans" w:cs="Noto Sans"/>
          <w:sz w:val="20"/>
          <w:szCs w:val="20"/>
          <w:lang w:eastAsia="en-US"/>
        </w:rPr>
        <w:t xml:space="preserve">   </w:t>
      </w:r>
      <w:r w:rsidRPr="0042648E">
        <w:rPr>
          <w:rFonts w:ascii="Noto Sans" w:eastAsia="Calibri" w:hAnsi="Noto Sans" w:cs="Noto Sans"/>
          <w:b/>
          <w:sz w:val="20"/>
          <w:szCs w:val="20"/>
          <w:lang w:eastAsia="es-ES"/>
        </w:rPr>
        <w:t>Canje o devolución de los bienes</w:t>
      </w:r>
      <w:r w:rsidRPr="0042648E">
        <w:rPr>
          <w:rFonts w:ascii="Noto Sans" w:eastAsia="Calibri" w:hAnsi="Noto Sans" w:cs="Noto Sans"/>
          <w:sz w:val="20"/>
          <w:szCs w:val="20"/>
          <w:lang w:eastAsia="es-ES"/>
        </w:rPr>
        <w:t xml:space="preserve">; </w:t>
      </w:r>
      <w:r w:rsidRPr="0042648E">
        <w:rPr>
          <w:rFonts w:ascii="Noto Sans" w:eastAsia="Calibri" w:hAnsi="Noto Sans" w:cs="Noto Sans"/>
          <w:bCs/>
          <w:sz w:val="20"/>
          <w:szCs w:val="20"/>
          <w:lang w:eastAsia="es-ES"/>
        </w:rPr>
        <w:t>la UMAE por conducto del d</w:t>
      </w:r>
      <w:r w:rsidRPr="0042648E">
        <w:rPr>
          <w:rFonts w:ascii="Noto Sans" w:eastAsia="Calibri" w:hAnsi="Noto Sans" w:cs="Noto Sans"/>
          <w:sz w:val="20"/>
          <w:szCs w:val="20"/>
          <w:lang w:eastAsia="es-ES"/>
        </w:rPr>
        <w:t xml:space="preserve">epartamento de abastecimiento y equipamiento, en sus oficinas de control del abasto de la U.M.A.E. Hospital de Especialidades del C.M.N.O. </w:t>
      </w:r>
      <w:r w:rsidRPr="0042648E">
        <w:rPr>
          <w:rFonts w:ascii="Noto Sans" w:eastAsia="Calibri" w:hAnsi="Noto Sans" w:cs="Noto Sans"/>
          <w:bCs/>
          <w:sz w:val="20"/>
          <w:szCs w:val="20"/>
          <w:lang w:eastAsia="es-ES"/>
        </w:rPr>
        <w:t>podrá solicitar a</w:t>
      </w:r>
      <w:r w:rsidRPr="0042648E">
        <w:rPr>
          <w:rFonts w:ascii="Noto Sans" w:eastAsia="Calibri" w:hAnsi="Noto Sans" w:cs="Noto Sans"/>
          <w:sz w:val="20"/>
          <w:szCs w:val="20"/>
          <w:lang w:eastAsia="es-ES"/>
        </w:rPr>
        <w:t>l proveedor adjudicado</w:t>
      </w:r>
      <w:r w:rsidRPr="0042648E">
        <w:rPr>
          <w:rFonts w:ascii="Noto Sans" w:eastAsia="Calibri" w:hAnsi="Noto Sans" w:cs="Noto Sans"/>
          <w:bCs/>
          <w:sz w:val="20"/>
          <w:szCs w:val="20"/>
          <w:lang w:eastAsia="es-ES"/>
        </w:rPr>
        <w:t xml:space="preserve">, el canje o devolución de los bienes que presenten defectos a </w:t>
      </w:r>
      <w:r w:rsidRPr="0042648E">
        <w:rPr>
          <w:rFonts w:ascii="Noto Sans" w:eastAsia="Calibri" w:hAnsi="Noto Sans" w:cs="Noto Sans"/>
          <w:bCs/>
          <w:sz w:val="20"/>
          <w:szCs w:val="20"/>
          <w:lang w:eastAsia="es-ES"/>
        </w:rPr>
        <w:lastRenderedPageBreak/>
        <w:t>simple vista, especificaciones distintas a las establecidas en el requerimiento o vicios ocultos, debiendo notificar a</w:t>
      </w:r>
      <w:r w:rsidRPr="0042648E">
        <w:rPr>
          <w:rFonts w:ascii="Noto Sans" w:eastAsia="Calibri" w:hAnsi="Noto Sans" w:cs="Noto Sans"/>
          <w:sz w:val="20"/>
          <w:szCs w:val="20"/>
          <w:lang w:eastAsia="es-ES"/>
        </w:rPr>
        <w:t xml:space="preserve">l proveedor adjudicado </w:t>
      </w:r>
      <w:r w:rsidRPr="0042648E">
        <w:rPr>
          <w:rFonts w:ascii="Noto Sans" w:eastAsia="Calibri" w:hAnsi="Noto Sans" w:cs="Noto Sans"/>
          <w:bCs/>
          <w:sz w:val="20"/>
          <w:szCs w:val="20"/>
          <w:lang w:eastAsia="es-ES"/>
        </w:rPr>
        <w:t>dentro del periodo de 10 días hábiles siguientes al momento en que se haya percatado del vicio o defecto.</w:t>
      </w:r>
    </w:p>
    <w:p w14:paraId="4EC90E6A" w14:textId="77777777" w:rsidR="0042648E" w:rsidRPr="0042648E" w:rsidRDefault="0042648E" w:rsidP="0042648E">
      <w:pPr>
        <w:pStyle w:val="wordsection1"/>
        <w:jc w:val="both"/>
        <w:rPr>
          <w:rFonts w:ascii="Noto Sans" w:eastAsia="Calibri" w:hAnsi="Noto Sans" w:cs="Noto Sans"/>
          <w:bCs/>
          <w:sz w:val="20"/>
          <w:szCs w:val="20"/>
          <w:lang w:eastAsia="es-ES"/>
        </w:rPr>
      </w:pPr>
      <w:r w:rsidRPr="0042648E">
        <w:rPr>
          <w:rFonts w:ascii="Noto Sans" w:eastAsia="Calibri" w:hAnsi="Noto Sans" w:cs="Noto Sans"/>
          <w:bCs/>
          <w:sz w:val="20"/>
          <w:szCs w:val="20"/>
          <w:lang w:eastAsia="es-ES"/>
        </w:rPr>
        <w:t xml:space="preserve">      </w:t>
      </w:r>
      <w:r w:rsidRPr="0042648E">
        <w:rPr>
          <w:rFonts w:ascii="Noto Sans" w:eastAsia="Calibri" w:hAnsi="Noto Sans" w:cs="Noto Sans"/>
          <w:sz w:val="20"/>
          <w:szCs w:val="20"/>
          <w:lang w:eastAsia="es-ES"/>
        </w:rPr>
        <w:t xml:space="preserve">El proveedor adjudicado deberá reponer los bienes sujetos a canje o devolución, en un plazo que no excederá de 5 días hábiles, contados a partir de la fecha de su notificación, todos los gastos que se generen con motivo del canje o devolución, correrán por cuenta del proveedor adjudicado, previa notificación del </w:t>
      </w:r>
      <w:proofErr w:type="spellStart"/>
      <w:r w:rsidRPr="0042648E">
        <w:rPr>
          <w:rFonts w:ascii="Noto Sans" w:eastAsia="Calibri" w:hAnsi="Noto Sans" w:cs="Noto Sans"/>
          <w:sz w:val="20"/>
          <w:szCs w:val="20"/>
          <w:lang w:eastAsia="es-ES"/>
        </w:rPr>
        <w:t>imss</w:t>
      </w:r>
      <w:proofErr w:type="spellEnd"/>
      <w:r w:rsidRPr="0042648E">
        <w:rPr>
          <w:rFonts w:ascii="Noto Sans" w:eastAsia="Calibri" w:hAnsi="Noto Sans" w:cs="Noto Sans"/>
          <w:sz w:val="20"/>
          <w:szCs w:val="20"/>
          <w:lang w:eastAsia="es-ES"/>
        </w:rPr>
        <w:t xml:space="preserve">. </w:t>
      </w:r>
      <w:r w:rsidRPr="0042648E">
        <w:rPr>
          <w:rFonts w:ascii="Noto Sans" w:eastAsia="Calibri" w:hAnsi="Noto Sans" w:cs="Noto Sans"/>
          <w:bCs/>
          <w:sz w:val="20"/>
          <w:szCs w:val="20"/>
          <w:lang w:eastAsia="es-ES"/>
        </w:rPr>
        <w:t xml:space="preserve">El proveedor adjudicado </w:t>
      </w:r>
      <w:r w:rsidRPr="0042648E">
        <w:rPr>
          <w:rFonts w:ascii="Noto Sans" w:eastAsia="Calibri" w:hAnsi="Noto Sans" w:cs="Noto Sans"/>
          <w:sz w:val="20"/>
          <w:szCs w:val="20"/>
          <w:lang w:eastAsia="es-ES"/>
        </w:rPr>
        <w:t>deberá reponer los bienes sujetos a canje, en un plazo que no excederá de diez días hábiles, contados a partir de la fecha de su notificación. Todos los gastos que se generen con motivo del canje, correrán por cuenta del proveedor adjudicado.</w:t>
      </w:r>
    </w:p>
    <w:p w14:paraId="123AE528" w14:textId="77777777" w:rsidR="0042648E" w:rsidRPr="0042648E" w:rsidRDefault="0042648E" w:rsidP="0042648E">
      <w:pPr>
        <w:tabs>
          <w:tab w:val="left" w:pos="426"/>
        </w:tabs>
        <w:ind w:left="426"/>
        <w:jc w:val="both"/>
        <w:rPr>
          <w:rFonts w:ascii="Noto Sans" w:eastAsia="Calibri" w:hAnsi="Noto Sans" w:cs="Noto Sans"/>
          <w:sz w:val="20"/>
          <w:szCs w:val="20"/>
          <w:lang w:val="es-MX" w:eastAsia="es-ES"/>
        </w:rPr>
      </w:pPr>
      <w:r w:rsidRPr="0042648E">
        <w:rPr>
          <w:rFonts w:ascii="Noto Sans" w:eastAsia="Calibri" w:hAnsi="Noto Sans" w:cs="Noto Sans"/>
          <w:sz w:val="20"/>
          <w:szCs w:val="20"/>
          <w:lang w:val="es-MX" w:eastAsia="es-ES"/>
        </w:rPr>
        <w:t>-Cuando con posterioridad a la entrega de lotes corregidos, se detecte el mismo defecto de lotes anteriores y éstos no hayan sido repuestos.</w:t>
      </w:r>
    </w:p>
    <w:p w14:paraId="7875F18A" w14:textId="77777777" w:rsidR="0042648E" w:rsidRPr="0042648E" w:rsidRDefault="0042648E" w:rsidP="0042648E">
      <w:pPr>
        <w:tabs>
          <w:tab w:val="left" w:pos="-284"/>
          <w:tab w:val="left" w:pos="9498"/>
        </w:tabs>
        <w:jc w:val="both"/>
        <w:rPr>
          <w:rFonts w:ascii="Noto Sans" w:eastAsia="Calibri" w:hAnsi="Noto Sans" w:cs="Noto Sans"/>
          <w:b/>
          <w:bCs/>
          <w:sz w:val="20"/>
          <w:szCs w:val="20"/>
          <w:lang w:val="es-MX" w:eastAsia="es-ES"/>
        </w:rPr>
      </w:pPr>
      <w:r w:rsidRPr="0042648E">
        <w:rPr>
          <w:rFonts w:ascii="Noto Sans" w:eastAsia="Calibri" w:hAnsi="Noto Sans" w:cs="Noto Sans"/>
          <w:sz w:val="20"/>
          <w:szCs w:val="20"/>
          <w:lang w:val="es-MX" w:eastAsia="es-ES"/>
        </w:rPr>
        <w:t xml:space="preserve">          -Cuando un bien pueda producir condiciones peligrosas o inseguras para las personas que lo utilicen.</w:t>
      </w:r>
    </w:p>
    <w:p w14:paraId="5FC03C4F" w14:textId="77777777" w:rsidR="0042648E" w:rsidRPr="0042648E" w:rsidRDefault="0042648E" w:rsidP="0042648E">
      <w:pPr>
        <w:numPr>
          <w:ilvl w:val="12"/>
          <w:numId w:val="0"/>
        </w:numPr>
        <w:tabs>
          <w:tab w:val="left" w:pos="-284"/>
          <w:tab w:val="left" w:pos="9498"/>
        </w:tabs>
        <w:jc w:val="both"/>
        <w:rPr>
          <w:rFonts w:ascii="Noto Sans" w:eastAsiaTheme="minorHAnsi" w:hAnsi="Noto Sans" w:cs="Noto Sans"/>
          <w:sz w:val="20"/>
          <w:szCs w:val="20"/>
          <w:lang w:val="es-MX"/>
        </w:rPr>
      </w:pPr>
      <w:r w:rsidRPr="0042648E">
        <w:rPr>
          <w:rFonts w:ascii="Noto Sans" w:eastAsiaTheme="minorHAnsi" w:hAnsi="Noto Sans" w:cs="Noto Sans"/>
          <w:sz w:val="20"/>
          <w:szCs w:val="20"/>
          <w:lang w:val="es-MX"/>
        </w:rPr>
        <w:t xml:space="preserve"> </w:t>
      </w:r>
    </w:p>
    <w:p w14:paraId="6CD6823B" w14:textId="77777777" w:rsidR="0042648E" w:rsidRPr="0042648E" w:rsidRDefault="0042648E" w:rsidP="0042648E">
      <w:pPr>
        <w:autoSpaceDE w:val="0"/>
        <w:autoSpaceDN w:val="0"/>
        <w:adjustRightInd w:val="0"/>
        <w:jc w:val="both"/>
        <w:rPr>
          <w:rFonts w:ascii="Noto Sans" w:eastAsiaTheme="minorHAnsi" w:hAnsi="Noto Sans" w:cs="Noto Sans"/>
          <w:sz w:val="20"/>
          <w:szCs w:val="20"/>
          <w:lang w:val="es-MX"/>
        </w:rPr>
      </w:pPr>
      <w:r w:rsidRPr="0042648E">
        <w:rPr>
          <w:rFonts w:ascii="Noto Sans" w:eastAsiaTheme="minorHAnsi" w:hAnsi="Noto Sans" w:cs="Noto Sans"/>
          <w:b/>
          <w:sz w:val="20"/>
          <w:szCs w:val="20"/>
          <w:lang w:val="es-MX"/>
        </w:rPr>
        <w:t>J- Las garantías</w:t>
      </w:r>
      <w:r w:rsidRPr="0042648E">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w:t>
      </w:r>
    </w:p>
    <w:p w14:paraId="7C4F01F9" w14:textId="77777777" w:rsidR="0042648E" w:rsidRPr="0042648E" w:rsidRDefault="0042648E" w:rsidP="0042648E">
      <w:pPr>
        <w:jc w:val="both"/>
        <w:rPr>
          <w:rFonts w:ascii="Noto Sans" w:eastAsia="Calibri" w:hAnsi="Noto Sans" w:cs="Noto Sans"/>
          <w:sz w:val="20"/>
          <w:szCs w:val="20"/>
          <w:lang w:val="es-MX" w:eastAsia="es-ES"/>
        </w:rPr>
      </w:pPr>
      <w:r w:rsidRPr="0042648E">
        <w:rPr>
          <w:rFonts w:ascii="Noto Sans" w:eastAsia="Calibri" w:hAnsi="Noto Sans" w:cs="Noto Sans"/>
          <w:sz w:val="20"/>
          <w:szCs w:val="20"/>
          <w:lang w:val="es-MX" w:eastAsia="es-ES"/>
        </w:rPr>
        <w:t xml:space="preserve">- </w:t>
      </w:r>
      <w:r w:rsidRPr="0042648E">
        <w:rPr>
          <w:rFonts w:ascii="Noto Sans" w:eastAsia="Calibri" w:hAnsi="Noto Sans" w:cs="Noto Sans"/>
          <w:b/>
          <w:sz w:val="20"/>
          <w:szCs w:val="20"/>
          <w:lang w:val="es-MX" w:eastAsia="es-ES"/>
        </w:rPr>
        <w:t>En la garantía de cumplimiento</w:t>
      </w:r>
      <w:r w:rsidRPr="0042648E">
        <w:rPr>
          <w:rFonts w:ascii="Noto Sans" w:eastAsia="Calibri" w:hAnsi="Noto Sans" w:cs="Noto Sans"/>
          <w:sz w:val="20"/>
          <w:szCs w:val="20"/>
          <w:lang w:val="es-MX" w:eastAsia="es-ES"/>
        </w:rPr>
        <w:t xml:space="preserve"> del contrato, el proveedor adjudicado, se obliga a otorgar de conformidad con el articulo 48 último párrafo </w:t>
      </w:r>
      <w:r w:rsidRPr="0042648E">
        <w:rPr>
          <w:rFonts w:ascii="Noto Sans" w:eastAsia="Calibri" w:hAnsi="Noto Sans" w:cs="Noto Sans"/>
          <w:bCs/>
          <w:sz w:val="20"/>
          <w:szCs w:val="20"/>
          <w:lang w:eastAsia="es-ES"/>
        </w:rPr>
        <w:t>de la ley de adquisiciones, arrendamientos y servicios del sector público</w:t>
      </w:r>
      <w:r w:rsidRPr="0042648E">
        <w:rPr>
          <w:rFonts w:ascii="Noto Sans" w:eastAsia="Calibri" w:hAnsi="Noto Sans" w:cs="Noto Sans"/>
          <w:sz w:val="20"/>
          <w:szCs w:val="20"/>
          <w:lang w:val="es-MX" w:eastAsia="es-ES"/>
        </w:rPr>
        <w:t xml:space="preserve">, dentro de un plazo de diez días naturales contados a partir de la firma del contrato, una garantía de cumplimiento de todas y cada una de las obligaciones, mediante fianza expedida por compañía autorizada en los términos de la Ley Federal de Instituciones de Fianzas, y a favor del Instituto Mexicano del Seguro Social, </w:t>
      </w:r>
      <w:r w:rsidRPr="0042648E">
        <w:rPr>
          <w:rFonts w:ascii="Noto Sans" w:eastAsia="Calibri" w:hAnsi="Noto Sans" w:cs="Noto Sans"/>
          <w:b/>
          <w:sz w:val="20"/>
          <w:szCs w:val="20"/>
          <w:lang w:val="es-MX" w:eastAsia="es-ES"/>
        </w:rPr>
        <w:t>por el monto máximo del 10% (diez por ciento)</w:t>
      </w:r>
      <w:r w:rsidRPr="0042648E">
        <w:rPr>
          <w:rFonts w:ascii="Noto Sans" w:eastAsia="Calibri" w:hAnsi="Noto Sans" w:cs="Noto Sans"/>
          <w:sz w:val="20"/>
          <w:szCs w:val="20"/>
          <w:lang w:val="es-MX" w:eastAsia="es-ES"/>
        </w:rPr>
        <w:t xml:space="preserve"> sobre el importe del contrato, sin considerar el Impuesto al Valor Agregado. El proveedor adjudicado queda obligado a entregar a la UMAE la póliza de fianza apegándose al formato que se integre en las bases del procedimiento de contratación, al departamento de abastecimiento y equipamiento de la unidad médica de alta especialidad hospital de especialidades </w:t>
      </w:r>
      <w:proofErr w:type="spellStart"/>
      <w:r w:rsidRPr="0042648E">
        <w:rPr>
          <w:rFonts w:ascii="Noto Sans" w:eastAsia="Calibri" w:hAnsi="Noto Sans" w:cs="Noto Sans"/>
          <w:sz w:val="20"/>
          <w:szCs w:val="20"/>
          <w:lang w:val="es-MX" w:eastAsia="es-ES"/>
        </w:rPr>
        <w:t>c.m.n.o</w:t>
      </w:r>
      <w:proofErr w:type="spellEnd"/>
      <w:r w:rsidRPr="0042648E">
        <w:rPr>
          <w:rFonts w:ascii="Noto Sans" w:eastAsia="Calibri" w:hAnsi="Noto Sans" w:cs="Noto Sans"/>
          <w:sz w:val="20"/>
          <w:szCs w:val="20"/>
          <w:lang w:val="es-MX" w:eastAsia="es-ES"/>
        </w:rPr>
        <w:t>. , dicha póliza de garantía de cumplimiento del contrato será devuelta al proveedor adjudicado a través de la empresa que para tal efecto el mismo designe, una vez que la UMAE le otorgue autorización por escrito, para que éste pueda solicitar a la afianzadora correspondiente la cancelación de la fianza, autorización que se entregará al proveedor adjudicado, siempre que demuestre haber cumplido con la totalidad de las obligaciones adquiridas. En este caso, la verificación del cumplimiento del contrato por parte de la UMAE deberá hacerse a más tardar el tercer día hábil posterior a aquel en que el proveedor adjudicado de aviso de la conclusión de la entrega de bienes objeto del presente contrato. La carta garantía de los bienes, el proveedor adjudicado  deberá entregar junto con los bienes una garantía de fabricación con cobertura amplia por 12 (doce) meses, contra vicios ocultos, defectos de fabricación o cualquier daño que presenten, la cual deberá entregar a la UMAE  por escrito en papel membretado, debidamente firmada por el representante legal de éste y a entera satisfacción de “el instituto”.</w:t>
      </w:r>
      <w:r w:rsidRPr="0042648E">
        <w:rPr>
          <w:rFonts w:ascii="Noto Sans" w:eastAsia="Calibri" w:hAnsi="Noto Sans" w:cs="Noto Sans"/>
          <w:sz w:val="20"/>
          <w:szCs w:val="20"/>
          <w:lang w:val="es-MX" w:eastAsia="es-ES"/>
        </w:rPr>
        <w:cr/>
        <w:t xml:space="preserve">- En la ejecución de la póliza de fianza de cumplimento de contrato, la UMAE llevara a cabo la ejecución de la garantía de cumplimiento de contrato cuando: </w:t>
      </w:r>
    </w:p>
    <w:p w14:paraId="7E0BA710" w14:textId="77777777" w:rsidR="0042648E" w:rsidRPr="0042648E" w:rsidRDefault="0042648E" w:rsidP="0042648E">
      <w:pPr>
        <w:overflowPunct w:val="0"/>
        <w:autoSpaceDE w:val="0"/>
        <w:autoSpaceDN w:val="0"/>
        <w:adjustRightInd w:val="0"/>
        <w:jc w:val="both"/>
        <w:textAlignment w:val="baseline"/>
        <w:rPr>
          <w:rFonts w:ascii="Noto Sans" w:eastAsia="Calibri" w:hAnsi="Noto Sans" w:cs="Noto Sans"/>
          <w:caps/>
          <w:sz w:val="20"/>
          <w:szCs w:val="20"/>
          <w:lang w:val="pt-BR" w:eastAsia="es-ES"/>
        </w:rPr>
      </w:pPr>
      <w:r w:rsidRPr="0042648E">
        <w:rPr>
          <w:rFonts w:ascii="Noto Sans" w:eastAsia="Calibri" w:hAnsi="Noto Sans" w:cs="Noto Sans"/>
          <w:sz w:val="20"/>
          <w:szCs w:val="20"/>
          <w:lang w:val="pt-BR" w:eastAsia="es-ES"/>
        </w:rPr>
        <w:t xml:space="preserve">a) se rescinda administrativamente </w:t>
      </w:r>
      <w:proofErr w:type="spellStart"/>
      <w:proofErr w:type="gramStart"/>
      <w:r w:rsidRPr="0042648E">
        <w:rPr>
          <w:rFonts w:ascii="Noto Sans" w:eastAsia="Calibri" w:hAnsi="Noto Sans" w:cs="Noto Sans"/>
          <w:sz w:val="20"/>
          <w:szCs w:val="20"/>
          <w:lang w:val="pt-BR" w:eastAsia="es-ES"/>
        </w:rPr>
        <w:t>del</w:t>
      </w:r>
      <w:proofErr w:type="spellEnd"/>
      <w:proofErr w:type="gramEnd"/>
      <w:r w:rsidRPr="0042648E">
        <w:rPr>
          <w:rFonts w:ascii="Noto Sans" w:eastAsia="Calibri" w:hAnsi="Noto Sans" w:cs="Noto Sans"/>
          <w:sz w:val="20"/>
          <w:szCs w:val="20"/>
          <w:lang w:val="pt-BR" w:eastAsia="es-ES"/>
        </w:rPr>
        <w:t xml:space="preserve"> contrato.</w:t>
      </w:r>
    </w:p>
    <w:p w14:paraId="20150986" w14:textId="77777777" w:rsidR="0042648E" w:rsidRPr="0042648E" w:rsidRDefault="0042648E" w:rsidP="0042648E">
      <w:pPr>
        <w:overflowPunct w:val="0"/>
        <w:autoSpaceDE w:val="0"/>
        <w:autoSpaceDN w:val="0"/>
        <w:adjustRightInd w:val="0"/>
        <w:jc w:val="both"/>
        <w:textAlignment w:val="baseline"/>
        <w:rPr>
          <w:rFonts w:ascii="Noto Sans" w:eastAsia="Calibri" w:hAnsi="Noto Sans" w:cs="Noto Sans"/>
          <w:caps/>
          <w:sz w:val="20"/>
          <w:szCs w:val="20"/>
          <w:lang w:val="es-MX" w:eastAsia="es-ES"/>
        </w:rPr>
      </w:pPr>
      <w:r w:rsidRPr="0042648E">
        <w:rPr>
          <w:rFonts w:ascii="Noto Sans" w:eastAsia="Calibri" w:hAnsi="Noto Sans" w:cs="Noto Sans"/>
          <w:sz w:val="20"/>
          <w:szCs w:val="20"/>
          <w:lang w:val="pt-BR" w:eastAsia="es-ES"/>
        </w:rPr>
        <w:t xml:space="preserve">b) </w:t>
      </w:r>
      <w:r w:rsidRPr="0042648E">
        <w:rPr>
          <w:rFonts w:ascii="Noto Sans" w:eastAsia="Calibri" w:hAnsi="Noto Sans" w:cs="Noto Sans"/>
          <w:sz w:val="20"/>
          <w:szCs w:val="20"/>
          <w:lang w:val="es-MX" w:eastAsia="es-ES"/>
        </w:rPr>
        <w:t xml:space="preserve">durante La vigencia de </w:t>
      </w:r>
      <w:proofErr w:type="gramStart"/>
      <w:r w:rsidRPr="0042648E">
        <w:rPr>
          <w:rFonts w:ascii="Noto Sans" w:eastAsia="Calibri" w:hAnsi="Noto Sans" w:cs="Noto Sans"/>
          <w:sz w:val="20"/>
          <w:szCs w:val="20"/>
          <w:lang w:val="es-MX" w:eastAsia="es-ES"/>
        </w:rPr>
        <w:t>del</w:t>
      </w:r>
      <w:proofErr w:type="gramEnd"/>
      <w:r w:rsidRPr="0042648E">
        <w:rPr>
          <w:rFonts w:ascii="Noto Sans" w:eastAsia="Calibri" w:hAnsi="Noto Sans" w:cs="Noto Sans"/>
          <w:sz w:val="20"/>
          <w:szCs w:val="20"/>
          <w:lang w:val="es-MX" w:eastAsia="es-ES"/>
        </w:rPr>
        <w:t xml:space="preserve"> contrato se detecten deficiencias, fallas o calidad inferior de los bienes entregados, en comparación con los ofertados.</w:t>
      </w:r>
    </w:p>
    <w:p w14:paraId="621B2521" w14:textId="77777777" w:rsidR="0042648E" w:rsidRPr="0042648E" w:rsidRDefault="0042648E" w:rsidP="0042648E">
      <w:pPr>
        <w:overflowPunct w:val="0"/>
        <w:autoSpaceDE w:val="0"/>
        <w:autoSpaceDN w:val="0"/>
        <w:adjustRightInd w:val="0"/>
        <w:jc w:val="both"/>
        <w:textAlignment w:val="baseline"/>
        <w:rPr>
          <w:rFonts w:ascii="Noto Sans" w:eastAsia="Calibri" w:hAnsi="Noto Sans" w:cs="Noto Sans"/>
          <w:caps/>
          <w:sz w:val="20"/>
          <w:szCs w:val="20"/>
          <w:lang w:val="es-MX" w:eastAsia="es-ES"/>
        </w:rPr>
      </w:pPr>
      <w:r w:rsidRPr="0042648E">
        <w:rPr>
          <w:rFonts w:ascii="Noto Sans" w:eastAsia="Calibri" w:hAnsi="Noto Sans" w:cs="Noto Sans"/>
          <w:sz w:val="20"/>
          <w:szCs w:val="20"/>
          <w:lang w:val="es-MX" w:eastAsia="es-ES"/>
        </w:rPr>
        <w:lastRenderedPageBreak/>
        <w:t>c) cuando en el supuesto de que se realicen modificaciones al contrato y no entregue en el plazo pactado, el endoso o la nueva garantía, que ampare el porcentaje establecido para garantizar el cumplimiento del presente instrumento jurídico, en términos de la cláusula décima primera.</w:t>
      </w:r>
    </w:p>
    <w:p w14:paraId="466C5FD2" w14:textId="77777777" w:rsidR="0042648E" w:rsidRPr="0042648E" w:rsidRDefault="0042648E" w:rsidP="0042648E">
      <w:pPr>
        <w:overflowPunct w:val="0"/>
        <w:autoSpaceDE w:val="0"/>
        <w:autoSpaceDN w:val="0"/>
        <w:adjustRightInd w:val="0"/>
        <w:jc w:val="both"/>
        <w:textAlignment w:val="baseline"/>
        <w:rPr>
          <w:rFonts w:ascii="Noto Sans" w:eastAsia="Calibri" w:hAnsi="Noto Sans" w:cs="Noto Sans"/>
          <w:caps/>
          <w:sz w:val="20"/>
          <w:szCs w:val="20"/>
          <w:lang w:val="es-MX" w:eastAsia="es-ES"/>
        </w:rPr>
      </w:pPr>
      <w:r w:rsidRPr="0042648E">
        <w:rPr>
          <w:rFonts w:ascii="Noto Sans" w:eastAsia="Calibri" w:hAnsi="Noto Sans" w:cs="Noto Sans"/>
          <w:sz w:val="20"/>
          <w:szCs w:val="20"/>
          <w:lang w:val="es-MX" w:eastAsia="es-ES"/>
        </w:rPr>
        <w:t xml:space="preserve">d) por cualquier otro incumplimiento de las obligaciones contraídas en el contrato. </w:t>
      </w:r>
    </w:p>
    <w:p w14:paraId="46A4C64B" w14:textId="77777777" w:rsidR="0042648E" w:rsidRPr="0042648E" w:rsidRDefault="0042648E" w:rsidP="0042648E">
      <w:pPr>
        <w:autoSpaceDE w:val="0"/>
        <w:autoSpaceDN w:val="0"/>
        <w:adjustRightInd w:val="0"/>
        <w:jc w:val="both"/>
        <w:rPr>
          <w:rFonts w:ascii="Noto Sans" w:eastAsiaTheme="minorHAnsi" w:hAnsi="Noto Sans" w:cs="Noto Sans"/>
          <w:sz w:val="20"/>
          <w:szCs w:val="20"/>
          <w:lang w:val="es-MX"/>
        </w:rPr>
      </w:pPr>
    </w:p>
    <w:p w14:paraId="3A57FE44" w14:textId="77777777" w:rsidR="0042648E" w:rsidRPr="0042648E" w:rsidRDefault="0042648E" w:rsidP="0042648E">
      <w:pPr>
        <w:numPr>
          <w:ilvl w:val="12"/>
          <w:numId w:val="0"/>
        </w:numPr>
        <w:tabs>
          <w:tab w:val="left" w:pos="-284"/>
          <w:tab w:val="left" w:pos="9498"/>
        </w:tabs>
        <w:jc w:val="both"/>
        <w:rPr>
          <w:rFonts w:ascii="Noto Sans" w:eastAsia="Calibri" w:hAnsi="Noto Sans" w:cs="Noto Sans"/>
          <w:sz w:val="20"/>
          <w:szCs w:val="20"/>
          <w:lang w:val="es-MX" w:eastAsia="es-ES"/>
        </w:rPr>
      </w:pPr>
      <w:r w:rsidRPr="0042648E">
        <w:rPr>
          <w:rFonts w:ascii="Noto Sans" w:eastAsiaTheme="minorHAnsi" w:hAnsi="Noto Sans" w:cs="Noto Sans"/>
          <w:b/>
          <w:sz w:val="20"/>
          <w:szCs w:val="20"/>
          <w:lang w:val="es-MX"/>
        </w:rPr>
        <w:t>K-</w:t>
      </w:r>
      <w:r w:rsidRPr="0042648E">
        <w:rPr>
          <w:rFonts w:ascii="Noto Sans" w:eastAsiaTheme="minorHAnsi" w:hAnsi="Noto Sans" w:cs="Noto Sans"/>
          <w:sz w:val="20"/>
          <w:szCs w:val="20"/>
          <w:lang w:val="es-MX"/>
        </w:rPr>
        <w:t xml:space="preserve"> </w:t>
      </w:r>
      <w:r w:rsidRPr="0042648E">
        <w:rPr>
          <w:rFonts w:ascii="Noto Sans" w:eastAsia="Calibri" w:hAnsi="Noto Sans" w:cs="Noto Sans"/>
          <w:b/>
          <w:sz w:val="20"/>
          <w:szCs w:val="20"/>
          <w:lang w:val="es-MX" w:eastAsia="es-ES"/>
        </w:rPr>
        <w:t>Pagos</w:t>
      </w:r>
      <w:r w:rsidRPr="0042648E">
        <w:rPr>
          <w:rFonts w:ascii="Noto Sans" w:eastAsia="Calibri" w:hAnsi="Noto Sans" w:cs="Noto Sans"/>
          <w:sz w:val="20"/>
          <w:szCs w:val="20"/>
          <w:lang w:val="es-MX" w:eastAsia="es-ES"/>
        </w:rPr>
        <w:t>: En la forma de pago, la UMAE, se obliga a pagar al proveedor adjudicado, el importe que resulte por los bienes entregados en el mes inmediato anterior conforme a los precios unitarios en pesos mexicanos.</w:t>
      </w:r>
      <w:r w:rsidRPr="0042648E">
        <w:rPr>
          <w:rFonts w:ascii="Noto Sans" w:eastAsia="Calibri" w:hAnsi="Noto Sans" w:cs="Noto Sans"/>
          <w:bCs/>
          <w:sz w:val="20"/>
          <w:szCs w:val="20"/>
          <w:lang w:val="es-MX" w:eastAsia="es-ES"/>
        </w:rPr>
        <w:t xml:space="preserve"> p</w:t>
      </w:r>
      <w:r w:rsidRPr="0042648E">
        <w:rPr>
          <w:rFonts w:ascii="Noto Sans" w:eastAsia="Calibri" w:hAnsi="Noto Sans" w:cs="Noto Sans"/>
          <w:sz w:val="20"/>
          <w:szCs w:val="20"/>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w:t>
      </w:r>
      <w:proofErr w:type="spellStart"/>
      <w:r w:rsidRPr="0042648E">
        <w:rPr>
          <w:rFonts w:ascii="Noto Sans" w:eastAsia="Calibri" w:hAnsi="Noto Sans" w:cs="Noto Sans"/>
          <w:sz w:val="20"/>
          <w:szCs w:val="20"/>
          <w:lang w:val="es-MX" w:eastAsia="es-ES"/>
        </w:rPr>
        <w:t>requisitada</w:t>
      </w:r>
      <w:proofErr w:type="spellEnd"/>
      <w:r w:rsidRPr="0042648E">
        <w:rPr>
          <w:rFonts w:ascii="Noto Sans" w:eastAsia="Calibri" w:hAnsi="Noto Sans" w:cs="Noto Sans"/>
          <w:sz w:val="20"/>
          <w:szCs w:val="20"/>
          <w:lang w:val="es-MX" w:eastAsia="es-ES"/>
        </w:rPr>
        <w:t xml:space="preserve">.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w:t>
      </w:r>
      <w:proofErr w:type="spellStart"/>
      <w:r w:rsidRPr="0042648E">
        <w:rPr>
          <w:rFonts w:ascii="Noto Sans" w:eastAsia="Calibri" w:hAnsi="Noto Sans" w:cs="Noto Sans"/>
          <w:sz w:val="20"/>
          <w:szCs w:val="20"/>
          <w:lang w:val="es-MX" w:eastAsia="es-ES"/>
        </w:rPr>
        <w:t>cfdi</w:t>
      </w:r>
      <w:proofErr w:type="spellEnd"/>
      <w:r w:rsidRPr="0042648E">
        <w:rPr>
          <w:rFonts w:ascii="Noto Sans" w:eastAsia="Calibri" w:hAnsi="Noto Sans" w:cs="Noto Sans"/>
          <w:sz w:val="20"/>
          <w:szCs w:val="20"/>
          <w:lang w:val="es-MX" w:eastAsia="es-ES"/>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5CC25A6E" w14:textId="77777777" w:rsidR="0042648E" w:rsidRPr="0042648E" w:rsidRDefault="0042648E" w:rsidP="0042648E">
      <w:pPr>
        <w:jc w:val="both"/>
        <w:rPr>
          <w:rFonts w:ascii="Noto Sans" w:eastAsia="Calibri" w:hAnsi="Noto Sans" w:cs="Noto Sans"/>
          <w:sz w:val="20"/>
          <w:szCs w:val="20"/>
          <w:lang w:val="es-MX" w:eastAsia="es-ES"/>
        </w:rPr>
      </w:pPr>
      <w:r w:rsidRPr="0042648E">
        <w:rPr>
          <w:rFonts w:ascii="Noto Sans" w:eastAsia="Calibri" w:hAnsi="Noto Sans" w:cs="Noto Sans"/>
          <w:bCs/>
          <w:sz w:val="20"/>
          <w:szCs w:val="20"/>
          <w:lang w:val="es-MX" w:eastAsia="es-ES"/>
        </w:rPr>
        <w:t xml:space="preserve">El proveedor adjudicado </w:t>
      </w:r>
      <w:r w:rsidRPr="0042648E">
        <w:rPr>
          <w:rFonts w:ascii="Noto Sans" w:eastAsia="Calibri" w:hAnsi="Noto Sans" w:cs="Noto Sans"/>
          <w:sz w:val="20"/>
          <w:szCs w:val="20"/>
          <w:lang w:val="es-MX" w:eastAsia="es-ES"/>
        </w:rPr>
        <w:t>deberá presentar la factura en original y el archivo XML desglosando el impuesto al valor agregado y con los descuentos que en su caso se otorguen a la UMAE, la cual</w:t>
      </w:r>
      <w:r w:rsidRPr="0042648E">
        <w:rPr>
          <w:rFonts w:ascii="Noto Sans" w:eastAsia="Times New Roman" w:hAnsi="Noto Sans" w:cs="Noto Sans"/>
          <w:bCs/>
          <w:sz w:val="20"/>
          <w:szCs w:val="20"/>
          <w:lang w:val="es-MX" w:eastAsia="es-ES"/>
        </w:rPr>
        <w:t xml:space="preserve"> </w:t>
      </w:r>
      <w:r w:rsidRPr="0042648E">
        <w:rPr>
          <w:rFonts w:ascii="Noto Sans" w:eastAsia="Times New Roman" w:hAnsi="Noto Sans" w:cs="Noto Sans"/>
          <w:sz w:val="20"/>
          <w:szCs w:val="20"/>
          <w:lang w:val="es-MX" w:eastAsia="es-ES"/>
        </w:rPr>
        <w:t>se obliga a pagar a</w:t>
      </w:r>
      <w:r w:rsidRPr="0042648E">
        <w:rPr>
          <w:rFonts w:ascii="Noto Sans" w:eastAsia="Times New Roman" w:hAnsi="Noto Sans" w:cs="Noto Sans"/>
          <w:bCs/>
          <w:sz w:val="20"/>
          <w:szCs w:val="20"/>
          <w:lang w:val="es-MX" w:eastAsia="es-ES"/>
        </w:rPr>
        <w:t>l proveedor adjudicado</w:t>
      </w:r>
      <w:r w:rsidRPr="0042648E">
        <w:rPr>
          <w:rFonts w:ascii="Noto Sans" w:eastAsia="Times New Roman" w:hAnsi="Noto Sans" w:cs="Noto Sans"/>
          <w:sz w:val="20"/>
          <w:szCs w:val="20"/>
          <w:lang w:val="es-MX" w:eastAsia="es-ES"/>
        </w:rPr>
        <w:t>, en el plazo que determine la normativa de la dirección de finanzas posteriores a la entrega por parte del proveedor adjudicado, de los siguientes documentos:</w:t>
      </w:r>
    </w:p>
    <w:p w14:paraId="27142519" w14:textId="77777777" w:rsidR="0042648E" w:rsidRPr="0042648E" w:rsidRDefault="0042648E" w:rsidP="0042648E">
      <w:pPr>
        <w:tabs>
          <w:tab w:val="left" w:pos="360"/>
        </w:tabs>
        <w:suppressAutoHyphens/>
        <w:overflowPunct w:val="0"/>
        <w:autoSpaceDE w:val="0"/>
        <w:jc w:val="both"/>
        <w:textAlignment w:val="baseline"/>
        <w:rPr>
          <w:rFonts w:ascii="Noto Sans" w:eastAsia="Calibri" w:hAnsi="Noto Sans" w:cs="Noto Sans"/>
          <w:i/>
          <w:sz w:val="20"/>
          <w:szCs w:val="20"/>
          <w:u w:val="single"/>
          <w:lang w:val="es-MX" w:eastAsia="es-ES"/>
        </w:rPr>
      </w:pPr>
      <w:r w:rsidRPr="0042648E">
        <w:rPr>
          <w:rFonts w:ascii="Noto Sans" w:eastAsia="Calibri" w:hAnsi="Noto Sans" w:cs="Noto Sans"/>
          <w:sz w:val="20"/>
          <w:szCs w:val="20"/>
          <w:lang w:val="es-MX" w:eastAsia="es-ES"/>
        </w:rPr>
        <w:t xml:space="preserve">          -Escrito que contenga la siguiente información: nombre o razón social, domicilio fiscal, teléfono y dirección de correo electrónico, </w:t>
      </w:r>
      <w:proofErr w:type="spellStart"/>
      <w:r w:rsidRPr="0042648E">
        <w:rPr>
          <w:rFonts w:ascii="Noto Sans" w:eastAsia="Calibri" w:hAnsi="Noto Sans" w:cs="Noto Sans"/>
          <w:sz w:val="20"/>
          <w:szCs w:val="20"/>
          <w:lang w:val="es-MX" w:eastAsia="es-ES"/>
        </w:rPr>
        <w:t>r.f.c</w:t>
      </w:r>
      <w:proofErr w:type="spellEnd"/>
      <w:r w:rsidRPr="0042648E">
        <w:rPr>
          <w:rFonts w:ascii="Noto Sans" w:eastAsia="Calibri" w:hAnsi="Noto Sans" w:cs="Noto Sans"/>
          <w:sz w:val="20"/>
          <w:szCs w:val="20"/>
          <w:lang w:val="es-MX" w:eastAsia="es-ES"/>
        </w:rPr>
        <w:t>., nombre del banco, número de cuenta bancaria, número de sucursal, nombre de la sucursal, copia de la credencial oficial (</w:t>
      </w:r>
      <w:proofErr w:type="spellStart"/>
      <w:r w:rsidRPr="0042648E">
        <w:rPr>
          <w:rFonts w:ascii="Noto Sans" w:eastAsia="Calibri" w:hAnsi="Noto Sans" w:cs="Noto Sans"/>
          <w:sz w:val="20"/>
          <w:szCs w:val="20"/>
          <w:lang w:val="es-MX" w:eastAsia="es-ES"/>
        </w:rPr>
        <w:t>ife</w:t>
      </w:r>
      <w:proofErr w:type="spellEnd"/>
      <w:r w:rsidRPr="0042648E">
        <w:rPr>
          <w:rFonts w:ascii="Noto Sans" w:eastAsia="Calibri" w:hAnsi="Noto Sans" w:cs="Noto Sans"/>
          <w:sz w:val="20"/>
          <w:szCs w:val="20"/>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4AE00294" w14:textId="77777777" w:rsidR="0042648E" w:rsidRPr="0042648E" w:rsidRDefault="0042648E" w:rsidP="0042648E">
      <w:pPr>
        <w:tabs>
          <w:tab w:val="left" w:pos="360"/>
        </w:tabs>
        <w:suppressAutoHyphens/>
        <w:overflowPunct w:val="0"/>
        <w:autoSpaceDE w:val="0"/>
        <w:jc w:val="both"/>
        <w:textAlignment w:val="baseline"/>
        <w:rPr>
          <w:rFonts w:ascii="Noto Sans" w:eastAsia="Calibri" w:hAnsi="Noto Sans" w:cs="Noto Sans"/>
          <w:sz w:val="20"/>
          <w:szCs w:val="20"/>
          <w:lang w:val="es-MX" w:eastAsia="es-ES"/>
        </w:rPr>
      </w:pPr>
      <w:r w:rsidRPr="0042648E">
        <w:rPr>
          <w:rFonts w:ascii="Noto Sans" w:eastAsia="Calibri" w:hAnsi="Noto Sans" w:cs="Noto Sans"/>
          <w:sz w:val="20"/>
          <w:szCs w:val="20"/>
          <w:lang w:val="es-MX" w:eastAsia="es-ES"/>
        </w:rPr>
        <w:t xml:space="preserve">          -Factura que corresponda a los bienes entregados.</w:t>
      </w:r>
    </w:p>
    <w:p w14:paraId="0ECFC115" w14:textId="77777777" w:rsidR="0042648E" w:rsidRPr="0042648E" w:rsidRDefault="0042648E" w:rsidP="0042648E">
      <w:pPr>
        <w:tabs>
          <w:tab w:val="left" w:pos="-284"/>
          <w:tab w:val="left" w:pos="9498"/>
        </w:tabs>
        <w:jc w:val="both"/>
        <w:rPr>
          <w:rFonts w:ascii="Noto Sans" w:eastAsia="Calibri" w:hAnsi="Noto Sans" w:cs="Noto Sans"/>
          <w:sz w:val="20"/>
          <w:szCs w:val="20"/>
          <w:lang w:val="es-MX" w:eastAsia="es-ES"/>
        </w:rPr>
      </w:pPr>
      <w:r w:rsidRPr="0042648E">
        <w:rPr>
          <w:rFonts w:ascii="Noto Sans" w:eastAsia="Calibri" w:hAnsi="Noto Sans" w:cs="Noto Sans"/>
          <w:sz w:val="20"/>
          <w:szCs w:val="20"/>
          <w:lang w:val="es-MX" w:eastAsia="es-ES"/>
        </w:rPr>
        <w:t>El pago quedará condicionado proporcionalmente al pago que el proveedor adjudicado deba efectuar por concepto de penas convencionales por atraso.</w:t>
      </w:r>
    </w:p>
    <w:p w14:paraId="532F09E3" w14:textId="77777777" w:rsidR="0042648E" w:rsidRPr="0042648E" w:rsidRDefault="0042648E" w:rsidP="0042648E">
      <w:pPr>
        <w:jc w:val="both"/>
        <w:rPr>
          <w:rFonts w:ascii="Noto Sans" w:eastAsia="Calibri" w:hAnsi="Noto Sans" w:cs="Noto Sans"/>
          <w:sz w:val="20"/>
          <w:szCs w:val="20"/>
          <w:lang w:val="es-MX" w:eastAsia="es-ES"/>
        </w:rPr>
      </w:pPr>
      <w:r w:rsidRPr="0042648E">
        <w:rPr>
          <w:rFonts w:ascii="Noto Sans" w:eastAsia="Calibri" w:hAnsi="Noto Sans" w:cs="Noto Sans"/>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proofErr w:type="spellStart"/>
      <w:r w:rsidRPr="0042648E">
        <w:rPr>
          <w:rFonts w:ascii="Noto Sans" w:eastAsia="Calibri" w:hAnsi="Noto Sans" w:cs="Noto Sans"/>
          <w:sz w:val="20"/>
          <w:szCs w:val="20"/>
          <w:lang w:val="es-MX" w:eastAsia="es-ES"/>
        </w:rPr>
        <w:t>umae</w:t>
      </w:r>
      <w:proofErr w:type="spellEnd"/>
      <w:r w:rsidRPr="0042648E">
        <w:rPr>
          <w:rFonts w:ascii="Noto Sans" w:eastAsia="Calibri" w:hAnsi="Noto Sans" w:cs="Noto Sans"/>
          <w:sz w:val="20"/>
          <w:szCs w:val="20"/>
          <w:lang w:val="es-MX" w:eastAsia="es-ES"/>
        </w:rPr>
        <w:t xml:space="preserve"> hospital de especialidades </w:t>
      </w:r>
      <w:proofErr w:type="spellStart"/>
      <w:r w:rsidRPr="0042648E">
        <w:rPr>
          <w:rFonts w:ascii="Noto Sans" w:eastAsia="Calibri" w:hAnsi="Noto Sans" w:cs="Noto Sans"/>
          <w:sz w:val="20"/>
          <w:szCs w:val="20"/>
          <w:lang w:val="es-MX" w:eastAsia="es-ES"/>
        </w:rPr>
        <w:t>c.m.n.o</w:t>
      </w:r>
      <w:proofErr w:type="spellEnd"/>
      <w:r w:rsidRPr="0042648E">
        <w:rPr>
          <w:rFonts w:ascii="Noto Sans" w:eastAsia="Calibri" w:hAnsi="Noto Sans" w:cs="Noto Sans"/>
          <w:sz w:val="20"/>
          <w:szCs w:val="20"/>
          <w:lang w:val="es-MX" w:eastAsia="es-ES"/>
        </w:rPr>
        <w:t xml:space="preserve">.,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w:t>
      </w:r>
      <w:r w:rsidRPr="0042648E">
        <w:rPr>
          <w:rFonts w:ascii="Noto Sans" w:eastAsia="Calibri" w:hAnsi="Noto Sans" w:cs="Noto Sans"/>
          <w:sz w:val="20"/>
          <w:szCs w:val="20"/>
          <w:lang w:val="es-MX" w:eastAsia="es-ES"/>
        </w:rPr>
        <w:lastRenderedPageBreak/>
        <w:t xml:space="preserve">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w:t>
      </w:r>
      <w:proofErr w:type="spellStart"/>
      <w:r w:rsidRPr="0042648E">
        <w:rPr>
          <w:rFonts w:ascii="Noto Sans" w:eastAsia="Calibri" w:hAnsi="Noto Sans" w:cs="Noto Sans"/>
          <w:sz w:val="20"/>
          <w:szCs w:val="20"/>
          <w:lang w:val="es-MX" w:eastAsia="es-ES"/>
        </w:rPr>
        <w:t>umae</w:t>
      </w:r>
      <w:proofErr w:type="spellEnd"/>
      <w:r w:rsidRPr="0042648E">
        <w:rPr>
          <w:rFonts w:ascii="Noto Sans" w:eastAsia="Calibri" w:hAnsi="Noto Sans" w:cs="Noto Sans"/>
          <w:sz w:val="20"/>
          <w:szCs w:val="20"/>
          <w:lang w:val="es-MX" w:eastAsia="es-ES"/>
        </w:rPr>
        <w:t xml:space="preserve"> hospital de especialidades </w:t>
      </w:r>
      <w:proofErr w:type="spellStart"/>
      <w:r w:rsidRPr="0042648E">
        <w:rPr>
          <w:rFonts w:ascii="Noto Sans" w:eastAsia="Calibri" w:hAnsi="Noto Sans" w:cs="Noto Sans"/>
          <w:sz w:val="20"/>
          <w:szCs w:val="20"/>
          <w:lang w:val="es-MX" w:eastAsia="es-ES"/>
        </w:rPr>
        <w:t>cmno</w:t>
      </w:r>
      <w:proofErr w:type="spellEnd"/>
      <w:r w:rsidRPr="0042648E">
        <w:rPr>
          <w:rFonts w:ascii="Noto Sans" w:eastAsia="Calibri" w:hAnsi="Noto Sans" w:cs="Noto Sans"/>
          <w:sz w:val="20"/>
          <w:szCs w:val="20"/>
          <w:lang w:val="es-MX" w:eastAsia="es-ES"/>
        </w:rPr>
        <w:t xml:space="preserve">, en caso de que “el proveedor” presente su factura con errores o deficiencias, el plazo de pago se ajustará en términos del artículo 90 del reglamento de la ley de adquisiciones, arrendamientos y servicios del sector público. El proveedor” </w:t>
      </w:r>
      <w:r w:rsidRPr="0042648E">
        <w:rPr>
          <w:rFonts w:ascii="Noto Sans" w:eastAsia="Calibri" w:hAnsi="Noto Sans" w:cs="Noto Sans"/>
          <w:bCs/>
          <w:iCs/>
          <w:sz w:val="20"/>
          <w:szCs w:val="20"/>
          <w:lang w:val="es-MX" w:eastAsia="es-ES"/>
        </w:rPr>
        <w:t xml:space="preserve">podrá optar porque </w:t>
      </w:r>
      <w:r w:rsidRPr="0042648E">
        <w:rPr>
          <w:rFonts w:ascii="Noto Sans" w:eastAsia="Calibri" w:hAnsi="Noto Sans" w:cs="Noto Sans"/>
          <w:sz w:val="20"/>
          <w:szCs w:val="20"/>
          <w:lang w:val="es-MX" w:eastAsia="es-ES"/>
        </w:rPr>
        <w:t xml:space="preserve">“la </w:t>
      </w:r>
      <w:proofErr w:type="spellStart"/>
      <w:r w:rsidRPr="0042648E">
        <w:rPr>
          <w:rFonts w:ascii="Noto Sans" w:eastAsia="Calibri" w:hAnsi="Noto Sans" w:cs="Noto Sans"/>
          <w:sz w:val="20"/>
          <w:szCs w:val="20"/>
          <w:lang w:val="es-MX" w:eastAsia="es-ES"/>
        </w:rPr>
        <w:t>umae</w:t>
      </w:r>
      <w:proofErr w:type="spellEnd"/>
      <w:r w:rsidRPr="0042648E">
        <w:rPr>
          <w:rFonts w:ascii="Noto Sans" w:eastAsia="Calibri" w:hAnsi="Noto Sans" w:cs="Noto Sans"/>
          <w:sz w:val="20"/>
          <w:szCs w:val="20"/>
          <w:lang w:val="es-MX" w:eastAsia="es-ES"/>
        </w:rPr>
        <w:t xml:space="preserve">” </w:t>
      </w:r>
      <w:r w:rsidRPr="0042648E">
        <w:rPr>
          <w:rFonts w:ascii="Noto Sans" w:eastAsia="Calibri" w:hAnsi="Noto Sans" w:cs="Noto Sans"/>
          <w:bCs/>
          <w:iCs/>
          <w:sz w:val="20"/>
          <w:szCs w:val="20"/>
          <w:lang w:val="es-MX" w:eastAsia="es-ES"/>
        </w:rPr>
        <w:t xml:space="preserve">efectúe el pago por la entrega de los bienes otorgados, a través del esquema electrónico interbancario que el </w:t>
      </w:r>
      <w:proofErr w:type="spellStart"/>
      <w:r w:rsidRPr="0042648E">
        <w:rPr>
          <w:rFonts w:ascii="Noto Sans" w:eastAsia="Calibri" w:hAnsi="Noto Sans" w:cs="Noto Sans"/>
          <w:bCs/>
          <w:iCs/>
          <w:sz w:val="20"/>
          <w:szCs w:val="20"/>
          <w:lang w:val="es-MX" w:eastAsia="es-ES"/>
        </w:rPr>
        <w:t>imss</w:t>
      </w:r>
      <w:proofErr w:type="spellEnd"/>
      <w:r w:rsidRPr="0042648E">
        <w:rPr>
          <w:rFonts w:ascii="Noto Sans" w:eastAsia="Calibri" w:hAnsi="Noto Sans" w:cs="Noto Sans"/>
          <w:bCs/>
          <w:iCs/>
          <w:sz w:val="20"/>
          <w:szCs w:val="20"/>
          <w:lang w:val="es-MX" w:eastAsia="es-ES"/>
        </w:rPr>
        <w:t xml:space="preserve"> tiene en operación, con </w:t>
      </w:r>
      <w:r w:rsidRPr="0042648E">
        <w:rPr>
          <w:rFonts w:ascii="Noto Sans" w:eastAsia="Calibri" w:hAnsi="Noto Sans" w:cs="Noto Sans"/>
          <w:sz w:val="20"/>
          <w:szCs w:val="20"/>
          <w:lang w:val="es-MX" w:eastAsia="es-ES"/>
        </w:rPr>
        <w:t xml:space="preserve">las instituciones bancarias siguientes: </w:t>
      </w:r>
      <w:proofErr w:type="spellStart"/>
      <w:r w:rsidRPr="0042648E">
        <w:rPr>
          <w:rFonts w:ascii="Noto Sans" w:eastAsia="Calibri" w:hAnsi="Noto Sans" w:cs="Noto Sans"/>
          <w:sz w:val="20"/>
          <w:szCs w:val="20"/>
          <w:lang w:val="es-MX" w:eastAsia="es-ES"/>
        </w:rPr>
        <w:t>banamex</w:t>
      </w:r>
      <w:proofErr w:type="spellEnd"/>
      <w:r w:rsidRPr="0042648E">
        <w:rPr>
          <w:rFonts w:ascii="Noto Sans" w:eastAsia="Calibri" w:hAnsi="Noto Sans" w:cs="Noto Sans"/>
          <w:sz w:val="20"/>
          <w:szCs w:val="20"/>
          <w:lang w:val="es-MX" w:eastAsia="es-ES"/>
        </w:rPr>
        <w:t xml:space="preserve">, s.a., </w:t>
      </w:r>
      <w:proofErr w:type="spellStart"/>
      <w:r w:rsidRPr="0042648E">
        <w:rPr>
          <w:rFonts w:ascii="Noto Sans" w:eastAsia="Calibri" w:hAnsi="Noto Sans" w:cs="Noto Sans"/>
          <w:sz w:val="20"/>
          <w:szCs w:val="20"/>
          <w:lang w:val="es-MX" w:eastAsia="es-ES"/>
        </w:rPr>
        <w:t>bbva</w:t>
      </w:r>
      <w:proofErr w:type="spellEnd"/>
      <w:r w:rsidRPr="0042648E">
        <w:rPr>
          <w:rFonts w:ascii="Noto Sans" w:eastAsia="Calibri" w:hAnsi="Noto Sans" w:cs="Noto Sans"/>
          <w:sz w:val="20"/>
          <w:szCs w:val="20"/>
          <w:lang w:val="es-MX" w:eastAsia="es-ES"/>
        </w:rPr>
        <w:t xml:space="preserve">, </w:t>
      </w:r>
      <w:proofErr w:type="spellStart"/>
      <w:r w:rsidRPr="0042648E">
        <w:rPr>
          <w:rFonts w:ascii="Noto Sans" w:eastAsia="Calibri" w:hAnsi="Noto Sans" w:cs="Noto Sans"/>
          <w:sz w:val="20"/>
          <w:szCs w:val="20"/>
          <w:lang w:val="es-MX" w:eastAsia="es-ES"/>
        </w:rPr>
        <w:t>bancomer</w:t>
      </w:r>
      <w:proofErr w:type="spellEnd"/>
      <w:r w:rsidRPr="0042648E">
        <w:rPr>
          <w:rFonts w:ascii="Noto Sans" w:eastAsia="Calibri" w:hAnsi="Noto Sans" w:cs="Noto Sans"/>
          <w:sz w:val="20"/>
          <w:szCs w:val="20"/>
          <w:lang w:val="es-MX" w:eastAsia="es-ES"/>
        </w:rPr>
        <w:t xml:space="preserve">, s.a., </w:t>
      </w:r>
      <w:proofErr w:type="spellStart"/>
      <w:r w:rsidRPr="0042648E">
        <w:rPr>
          <w:rFonts w:ascii="Noto Sans" w:eastAsia="Calibri" w:hAnsi="Noto Sans" w:cs="Noto Sans"/>
          <w:sz w:val="20"/>
          <w:szCs w:val="20"/>
          <w:lang w:val="es-MX" w:eastAsia="es-ES"/>
        </w:rPr>
        <w:t>banorte</w:t>
      </w:r>
      <w:proofErr w:type="spellEnd"/>
      <w:r w:rsidRPr="0042648E">
        <w:rPr>
          <w:rFonts w:ascii="Noto Sans" w:eastAsia="Calibri" w:hAnsi="Noto Sans" w:cs="Noto Sans"/>
          <w:sz w:val="20"/>
          <w:szCs w:val="20"/>
          <w:lang w:val="es-MX" w:eastAsia="es-ES"/>
        </w:rPr>
        <w:t xml:space="preserve">, s.a. y </w:t>
      </w:r>
      <w:proofErr w:type="spellStart"/>
      <w:r w:rsidRPr="0042648E">
        <w:rPr>
          <w:rFonts w:ascii="Noto Sans" w:eastAsia="Calibri" w:hAnsi="Noto Sans" w:cs="Noto Sans"/>
          <w:sz w:val="20"/>
          <w:szCs w:val="20"/>
          <w:lang w:val="es-MX" w:eastAsia="es-ES"/>
        </w:rPr>
        <w:t>scotiabank</w:t>
      </w:r>
      <w:proofErr w:type="spellEnd"/>
      <w:r w:rsidRPr="0042648E">
        <w:rPr>
          <w:rFonts w:ascii="Noto Sans" w:eastAsia="Calibri" w:hAnsi="Noto Sans" w:cs="Noto Sans"/>
          <w:sz w:val="20"/>
          <w:szCs w:val="20"/>
          <w:lang w:val="es-MX" w:eastAsia="es-ES"/>
        </w:rPr>
        <w:t xml:space="preserve"> </w:t>
      </w:r>
      <w:proofErr w:type="spellStart"/>
      <w:r w:rsidRPr="0042648E">
        <w:rPr>
          <w:rFonts w:ascii="Noto Sans" w:eastAsia="Calibri" w:hAnsi="Noto Sans" w:cs="Noto Sans"/>
          <w:sz w:val="20"/>
          <w:szCs w:val="20"/>
          <w:lang w:val="es-MX" w:eastAsia="es-ES"/>
        </w:rPr>
        <w:t>inverlat</w:t>
      </w:r>
      <w:proofErr w:type="spellEnd"/>
      <w:r w:rsidRPr="0042648E">
        <w:rPr>
          <w:rFonts w:ascii="Noto Sans" w:eastAsia="Calibri" w:hAnsi="Noto Sans" w:cs="Noto Sans"/>
          <w:sz w:val="20"/>
          <w:szCs w:val="20"/>
          <w:lang w:val="es-MX" w:eastAsia="es-ES"/>
        </w:rPr>
        <w:t xml:space="preserve">,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w:t>
      </w:r>
      <w:proofErr w:type="spellStart"/>
      <w:r w:rsidRPr="0042648E">
        <w:rPr>
          <w:rFonts w:ascii="Noto Sans" w:eastAsia="Calibri" w:hAnsi="Noto Sans" w:cs="Noto Sans"/>
          <w:sz w:val="20"/>
          <w:szCs w:val="20"/>
          <w:lang w:val="es-MX" w:eastAsia="es-ES"/>
        </w:rPr>
        <w:t>imss</w:t>
      </w:r>
      <w:proofErr w:type="spellEnd"/>
      <w:r w:rsidRPr="0042648E">
        <w:rPr>
          <w:rFonts w:ascii="Noto Sans" w:eastAsia="Calibri" w:hAnsi="Noto Sans" w:cs="Noto Sans"/>
          <w:sz w:val="20"/>
          <w:szCs w:val="20"/>
          <w:lang w:val="es-MX" w:eastAsia="es-ES"/>
        </w:rPr>
        <w:t xml:space="preserve">, en caso de que el proveedor Adjudicado solicite el abono en una cuenta contratada en un banco diferente a los antes citados (interbancario), el instituto mexicano del seguro social realizará la instrucción de pago en la fecha de vencimiento del </w:t>
      </w:r>
      <w:proofErr w:type="spellStart"/>
      <w:r w:rsidRPr="0042648E">
        <w:rPr>
          <w:rFonts w:ascii="Noto Sans" w:eastAsia="Calibri" w:hAnsi="Noto Sans" w:cs="Noto Sans"/>
          <w:sz w:val="20"/>
          <w:szCs w:val="20"/>
          <w:lang w:val="es-MX" w:eastAsia="es-ES"/>
        </w:rPr>
        <w:t>contrarecibo</w:t>
      </w:r>
      <w:proofErr w:type="spellEnd"/>
      <w:r w:rsidRPr="0042648E">
        <w:rPr>
          <w:rFonts w:ascii="Noto Sans" w:eastAsia="Calibri" w:hAnsi="Noto Sans" w:cs="Noto Sans"/>
          <w:sz w:val="20"/>
          <w:szCs w:val="20"/>
          <w:lang w:val="es-MX" w:eastAsia="es-ES"/>
        </w:rPr>
        <w:t xml:space="preserve"> y su aplicación se llevará a cabo al día hábil siguiente, de acuerdo con el mecanismo establecido por </w:t>
      </w:r>
      <w:proofErr w:type="spellStart"/>
      <w:r w:rsidRPr="0042648E">
        <w:rPr>
          <w:rFonts w:ascii="Noto Sans" w:eastAsia="Calibri" w:hAnsi="Noto Sans" w:cs="Noto Sans"/>
          <w:sz w:val="20"/>
          <w:szCs w:val="20"/>
          <w:lang w:val="es-MX" w:eastAsia="es-ES"/>
        </w:rPr>
        <w:t>cecoban</w:t>
      </w:r>
      <w:proofErr w:type="spellEnd"/>
      <w:r w:rsidRPr="0042648E">
        <w:rPr>
          <w:rFonts w:ascii="Noto Sans" w:eastAsia="Calibri" w:hAnsi="Noto Sans" w:cs="Noto Sans"/>
          <w:sz w:val="20"/>
          <w:szCs w:val="20"/>
          <w:lang w:val="es-MX" w:eastAsia="es-ES"/>
        </w:rPr>
        <w:t>. Anexo a la solicitud de pago electrónico (</w:t>
      </w:r>
      <w:proofErr w:type="spellStart"/>
      <w:r w:rsidRPr="0042648E">
        <w:rPr>
          <w:rFonts w:ascii="Noto Sans" w:eastAsia="Calibri" w:hAnsi="Noto Sans" w:cs="Noto Sans"/>
          <w:sz w:val="20"/>
          <w:szCs w:val="20"/>
          <w:lang w:val="es-MX" w:eastAsia="es-ES"/>
        </w:rPr>
        <w:t>intrabancario</w:t>
      </w:r>
      <w:proofErr w:type="spellEnd"/>
      <w:r w:rsidRPr="0042648E">
        <w:rPr>
          <w:rFonts w:ascii="Noto Sans" w:eastAsia="Calibri" w:hAnsi="Noto Sans" w:cs="Noto Sans"/>
          <w:sz w:val="20"/>
          <w:szCs w:val="20"/>
          <w:lang w:val="es-MX" w:eastAsia="es-ES"/>
        </w:rPr>
        <w:t xml:space="preserve">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4E9B1956" w14:textId="77777777" w:rsidR="0042648E" w:rsidRPr="0042648E" w:rsidRDefault="0042648E" w:rsidP="0042648E">
      <w:pPr>
        <w:jc w:val="both"/>
        <w:rPr>
          <w:rFonts w:ascii="Noto Sans" w:eastAsia="Calibri" w:hAnsi="Noto Sans" w:cs="Noto Sans"/>
          <w:sz w:val="20"/>
          <w:szCs w:val="20"/>
          <w:lang w:val="es-MX" w:eastAsia="es-ES"/>
        </w:rPr>
      </w:pPr>
      <w:r w:rsidRPr="0042648E">
        <w:rPr>
          <w:rFonts w:ascii="Noto Sans" w:eastAsia="Calibri" w:hAnsi="Noto Sans" w:cs="Noto Sans"/>
          <w:sz w:val="20"/>
          <w:szCs w:val="20"/>
          <w:lang w:val="es-MX" w:eastAsia="es-ES"/>
        </w:rPr>
        <w:t xml:space="preserve">El proveedor Adjudicado podrá solicitar a la </w:t>
      </w:r>
      <w:proofErr w:type="spellStart"/>
      <w:r w:rsidRPr="0042648E">
        <w:rPr>
          <w:rFonts w:ascii="Noto Sans" w:eastAsia="Calibri" w:hAnsi="Noto Sans" w:cs="Noto Sans"/>
          <w:sz w:val="20"/>
          <w:szCs w:val="20"/>
          <w:lang w:val="es-MX" w:eastAsia="es-ES"/>
        </w:rPr>
        <w:t>umae</w:t>
      </w:r>
      <w:proofErr w:type="spellEnd"/>
      <w:r w:rsidRPr="0042648E">
        <w:rPr>
          <w:rFonts w:ascii="Noto Sans" w:eastAsia="Calibri" w:hAnsi="Noto Sans" w:cs="Noto Sans"/>
          <w:sz w:val="20"/>
          <w:szCs w:val="20"/>
          <w:lang w:val="es-MX" w:eastAsia="es-ES"/>
        </w:rPr>
        <w:t xml:space="preserve">, a través del departamento de finanzas y sistemas de la </w:t>
      </w:r>
      <w:proofErr w:type="spellStart"/>
      <w:r w:rsidRPr="0042648E">
        <w:rPr>
          <w:rFonts w:ascii="Noto Sans" w:eastAsia="Calibri" w:hAnsi="Noto Sans" w:cs="Noto Sans"/>
          <w:sz w:val="20"/>
          <w:szCs w:val="20"/>
          <w:lang w:val="es-MX" w:eastAsia="es-ES"/>
        </w:rPr>
        <w:t>umae</w:t>
      </w:r>
      <w:proofErr w:type="spellEnd"/>
      <w:r w:rsidRPr="0042648E">
        <w:rPr>
          <w:rFonts w:ascii="Noto Sans" w:eastAsia="Calibri" w:hAnsi="Noto Sans" w:cs="Noto Sans"/>
          <w:sz w:val="20"/>
          <w:szCs w:val="20"/>
          <w:lang w:val="es-MX" w:eastAsia="es-ES"/>
        </w:rPr>
        <w:t xml:space="preserve"> hospital de especialidades </w:t>
      </w:r>
      <w:proofErr w:type="spellStart"/>
      <w:r w:rsidRPr="0042648E">
        <w:rPr>
          <w:rFonts w:ascii="Noto Sans" w:eastAsia="Calibri" w:hAnsi="Noto Sans" w:cs="Noto Sans"/>
          <w:sz w:val="20"/>
          <w:szCs w:val="20"/>
          <w:lang w:val="es-MX" w:eastAsia="es-ES"/>
        </w:rPr>
        <w:t>cmno</w:t>
      </w:r>
      <w:proofErr w:type="spellEnd"/>
      <w:r w:rsidRPr="0042648E">
        <w:rPr>
          <w:rFonts w:ascii="Noto Sans" w:eastAsia="Calibri" w:hAnsi="Noto Sans" w:cs="Noto Sans"/>
          <w:sz w:val="20"/>
          <w:szCs w:val="20"/>
          <w:lang w:val="es-MX" w:eastAsia="es-ES"/>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w:t>
      </w:r>
      <w:proofErr w:type="spellStart"/>
      <w:r w:rsidRPr="0042648E">
        <w:rPr>
          <w:rFonts w:ascii="Noto Sans" w:eastAsia="Calibri" w:hAnsi="Noto Sans" w:cs="Noto Sans"/>
          <w:sz w:val="20"/>
          <w:szCs w:val="20"/>
          <w:lang w:val="es-MX" w:eastAsia="es-ES"/>
        </w:rPr>
        <w:t>umae</w:t>
      </w:r>
      <w:proofErr w:type="spellEnd"/>
      <w:r w:rsidRPr="0042648E">
        <w:rPr>
          <w:rFonts w:ascii="Noto Sans" w:eastAsia="Calibri" w:hAnsi="Noto Sans" w:cs="Noto Sans"/>
          <w:sz w:val="20"/>
          <w:szCs w:val="20"/>
          <w:lang w:val="es-MX" w:eastAsia="es-ES"/>
        </w:rPr>
        <w:t>, le sean aplicados como descuento en los recursos que le corresponda percibir como motivo del presente instrumento jurídico, contra los adeudos que, en su caso, tuviera por concepto de cuotas obrero patronales.</w:t>
      </w:r>
    </w:p>
    <w:p w14:paraId="2F27EA36" w14:textId="77777777" w:rsidR="0042648E" w:rsidRPr="0042648E" w:rsidRDefault="0042648E" w:rsidP="0042648E">
      <w:pPr>
        <w:jc w:val="both"/>
        <w:rPr>
          <w:rFonts w:ascii="Noto Sans" w:eastAsia="Calibri" w:hAnsi="Noto Sans" w:cs="Noto Sans"/>
          <w:sz w:val="20"/>
          <w:szCs w:val="20"/>
          <w:lang w:val="es-MX" w:eastAsia="es-ES"/>
        </w:rPr>
      </w:pPr>
      <w:r w:rsidRPr="0042648E">
        <w:rPr>
          <w:rFonts w:ascii="Noto Sans" w:eastAsia="Calibri" w:hAnsi="Noto Sans" w:cs="Noto Sans"/>
          <w:sz w:val="20"/>
          <w:szCs w:val="20"/>
          <w:lang w:val="es-MX" w:eastAsia="es-ES"/>
        </w:rPr>
        <w:t xml:space="preserve">-El proveedor adjudicado que celebre contrato de cesión de derechos de cobro, deberá notificarlo por escrito a la </w:t>
      </w:r>
      <w:proofErr w:type="spellStart"/>
      <w:r w:rsidRPr="0042648E">
        <w:rPr>
          <w:rFonts w:ascii="Noto Sans" w:eastAsia="Calibri" w:hAnsi="Noto Sans" w:cs="Noto Sans"/>
          <w:sz w:val="20"/>
          <w:szCs w:val="20"/>
          <w:lang w:val="es-MX" w:eastAsia="es-ES"/>
        </w:rPr>
        <w:t>umae</w:t>
      </w:r>
      <w:proofErr w:type="spellEnd"/>
      <w:r w:rsidRPr="0042648E">
        <w:rPr>
          <w:rFonts w:ascii="Noto Sans" w:eastAsia="Calibri" w:hAnsi="Noto Sans" w:cs="Noto Sans"/>
          <w:sz w:val="20"/>
          <w:szCs w:val="20"/>
          <w:lang w:val="es-MX" w:eastAsia="es-ES"/>
        </w:rPr>
        <w:t>,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r w:rsidRPr="0042648E">
        <w:rPr>
          <w:rFonts w:ascii="Noto Sans" w:eastAsiaTheme="minorHAnsi" w:hAnsi="Noto Sans" w:cs="Noto Sans"/>
          <w:sz w:val="20"/>
          <w:szCs w:val="20"/>
          <w:lang w:val="es-MX"/>
        </w:rPr>
        <w:t xml:space="preserve">   </w:t>
      </w:r>
    </w:p>
    <w:p w14:paraId="2950D7A9" w14:textId="77777777" w:rsidR="0042648E" w:rsidRPr="0042648E" w:rsidRDefault="0042648E" w:rsidP="0042648E">
      <w:pPr>
        <w:jc w:val="both"/>
        <w:rPr>
          <w:rFonts w:ascii="Noto Sans" w:hAnsi="Noto Sans" w:cs="Noto Sans"/>
          <w:sz w:val="20"/>
          <w:szCs w:val="20"/>
        </w:rPr>
      </w:pPr>
    </w:p>
    <w:p w14:paraId="1D6E3128" w14:textId="77777777" w:rsidR="0042648E" w:rsidRPr="0042648E" w:rsidRDefault="0042648E" w:rsidP="0042648E">
      <w:pPr>
        <w:jc w:val="both"/>
        <w:rPr>
          <w:rFonts w:ascii="Noto Sans" w:eastAsia="Calibri" w:hAnsi="Noto Sans" w:cs="Noto Sans"/>
          <w:sz w:val="20"/>
          <w:szCs w:val="20"/>
          <w:lang w:val="es-MX" w:eastAsia="es-ES"/>
        </w:rPr>
      </w:pPr>
      <w:r w:rsidRPr="0042648E">
        <w:rPr>
          <w:rFonts w:ascii="Noto Sans" w:hAnsi="Noto Sans" w:cs="Noto Sans"/>
          <w:b/>
          <w:sz w:val="20"/>
          <w:szCs w:val="20"/>
        </w:rPr>
        <w:t>L- Mecanismos de Control:</w:t>
      </w:r>
      <w:r w:rsidRPr="0042648E">
        <w:rPr>
          <w:rFonts w:ascii="Noto Sans" w:hAnsi="Noto Sans" w:cs="Noto Sans"/>
          <w:sz w:val="20"/>
          <w:szCs w:val="20"/>
        </w:rPr>
        <w:t xml:space="preserve"> El administrador del contrato solicitara </w:t>
      </w:r>
      <w:proofErr w:type="spellStart"/>
      <w:r w:rsidRPr="0042648E">
        <w:rPr>
          <w:rFonts w:ascii="Noto Sans" w:hAnsi="Noto Sans" w:cs="Noto Sans"/>
          <w:sz w:val="20"/>
          <w:szCs w:val="20"/>
        </w:rPr>
        <w:t>informacion</w:t>
      </w:r>
      <w:proofErr w:type="spellEnd"/>
      <w:r w:rsidRPr="0042648E">
        <w:rPr>
          <w:rFonts w:ascii="Noto Sans" w:hAnsi="Noto Sans" w:cs="Noto Sans"/>
          <w:sz w:val="20"/>
          <w:szCs w:val="20"/>
        </w:rPr>
        <w:t xml:space="preserve"> al </w:t>
      </w:r>
      <w:proofErr w:type="spellStart"/>
      <w:r w:rsidRPr="0042648E">
        <w:rPr>
          <w:rFonts w:ascii="Noto Sans" w:hAnsi="Noto Sans" w:cs="Noto Sans"/>
          <w:sz w:val="20"/>
          <w:szCs w:val="20"/>
        </w:rPr>
        <w:t>almacen</w:t>
      </w:r>
      <w:proofErr w:type="spellEnd"/>
      <w:r w:rsidRPr="0042648E">
        <w:rPr>
          <w:rFonts w:ascii="Noto Sans" w:hAnsi="Noto Sans" w:cs="Noto Sans"/>
          <w:sz w:val="20"/>
          <w:szCs w:val="20"/>
        </w:rPr>
        <w:t xml:space="preserve"> del cumplimiento de las obligaciones del proveedor adjudicado verificando tiempo de entrega, monto y</w:t>
      </w:r>
      <w:r w:rsidRPr="0042648E">
        <w:rPr>
          <w:rFonts w:ascii="Noto Sans" w:eastAsia="Calibri" w:hAnsi="Noto Sans" w:cs="Noto Sans"/>
          <w:sz w:val="20"/>
          <w:szCs w:val="20"/>
          <w:lang w:val="es-MX" w:eastAsia="es-ES"/>
        </w:rPr>
        <w:t xml:space="preserve"> de las altas realizadas.</w:t>
      </w:r>
    </w:p>
    <w:p w14:paraId="27609F4E" w14:textId="77777777" w:rsidR="0042648E" w:rsidRPr="0042648E" w:rsidRDefault="0042648E" w:rsidP="0042648E">
      <w:pPr>
        <w:autoSpaceDE w:val="0"/>
        <w:autoSpaceDN w:val="0"/>
        <w:adjustRightInd w:val="0"/>
        <w:jc w:val="both"/>
        <w:rPr>
          <w:rFonts w:ascii="Noto Sans" w:eastAsiaTheme="minorHAnsi" w:hAnsi="Noto Sans" w:cs="Noto Sans"/>
          <w:b/>
          <w:sz w:val="20"/>
          <w:szCs w:val="20"/>
          <w:lang w:val="es-MX"/>
        </w:rPr>
      </w:pPr>
      <w:r w:rsidRPr="0042648E">
        <w:rPr>
          <w:rFonts w:ascii="Noto Sans" w:eastAsia="Calibri" w:hAnsi="Noto Sans" w:cs="Noto Sans"/>
          <w:sz w:val="20"/>
          <w:szCs w:val="20"/>
          <w:lang w:eastAsia="es-ES"/>
        </w:rPr>
        <w:t xml:space="preserve">- </w:t>
      </w:r>
      <w:r w:rsidRPr="0042648E">
        <w:rPr>
          <w:rFonts w:ascii="Noto Sans" w:eastAsia="Calibri" w:hAnsi="Noto Sans" w:cs="Noto Sans"/>
          <w:b/>
          <w:sz w:val="20"/>
          <w:szCs w:val="20"/>
          <w:lang w:eastAsia="es-ES"/>
        </w:rPr>
        <w:t>Contacto de Entrega/verificación</w:t>
      </w:r>
      <w:r w:rsidRPr="0042648E">
        <w:rPr>
          <w:rFonts w:ascii="Noto Sans" w:eastAsia="Calibri" w:hAnsi="Noto Sans" w:cs="Noto Sans"/>
          <w:sz w:val="20"/>
          <w:szCs w:val="20"/>
          <w:lang w:eastAsia="es-ES"/>
        </w:rPr>
        <w:t xml:space="preserve">: El jefe o supervisor del Almacén será </w:t>
      </w:r>
      <w:r w:rsidRPr="0042648E">
        <w:rPr>
          <w:rFonts w:ascii="Noto Sans" w:hAnsi="Noto Sans" w:cs="Noto Sans"/>
          <w:sz w:val="20"/>
          <w:szCs w:val="20"/>
        </w:rPr>
        <w:t xml:space="preserve">Quien verificará y dejará constancia de la recepción de los </w:t>
      </w:r>
      <w:r w:rsidRPr="0042648E">
        <w:rPr>
          <w:rFonts w:ascii="Noto Sans" w:hAnsi="Noto Sans" w:cs="Noto Sans"/>
          <w:b/>
          <w:sz w:val="20"/>
          <w:szCs w:val="20"/>
        </w:rPr>
        <w:t>Consumibles de equipo Medico</w:t>
      </w:r>
    </w:p>
    <w:p w14:paraId="40CC29A9" w14:textId="77777777" w:rsidR="0042648E" w:rsidRPr="0042648E" w:rsidRDefault="0042648E" w:rsidP="0042648E">
      <w:pPr>
        <w:jc w:val="both"/>
        <w:rPr>
          <w:rFonts w:ascii="Noto Sans" w:hAnsi="Noto Sans" w:cs="Noto Sans"/>
          <w:sz w:val="20"/>
          <w:szCs w:val="20"/>
        </w:rPr>
      </w:pPr>
      <w:r w:rsidRPr="0042648E">
        <w:rPr>
          <w:rFonts w:ascii="Noto Sans" w:eastAsia="Calibri" w:hAnsi="Noto Sans" w:cs="Noto Sans"/>
          <w:b/>
          <w:sz w:val="20"/>
          <w:szCs w:val="20"/>
          <w:lang w:val="es-MX" w:eastAsia="es-ES"/>
        </w:rPr>
        <w:t>Entrega de bienes</w:t>
      </w:r>
      <w:r w:rsidRPr="0042648E">
        <w:rPr>
          <w:rFonts w:ascii="Noto Sans" w:eastAsia="Calibri" w:hAnsi="Noto Sans" w:cs="Noto Sans"/>
          <w:sz w:val="20"/>
          <w:szCs w:val="20"/>
          <w:lang w:val="es-MX" w:eastAsia="es-ES"/>
        </w:rPr>
        <w:t xml:space="preserve">: </w:t>
      </w:r>
      <w:r w:rsidRPr="0042648E">
        <w:rPr>
          <w:rFonts w:ascii="Noto Sans" w:eastAsia="Calibri" w:hAnsi="Noto Sans" w:cs="Noto Sans"/>
          <w:sz w:val="20"/>
          <w:szCs w:val="20"/>
          <w:lang w:eastAsia="es-ES"/>
        </w:rPr>
        <w:t xml:space="preserve">Los bienes deberán de ser entregados  en el Almacén de la Unidad Médica Alta Especialidad Hospital de Especialidades del Centro Médico Nacional de Occidente, ubicada en Belisario </w:t>
      </w:r>
      <w:r w:rsidRPr="0042648E">
        <w:rPr>
          <w:rFonts w:ascii="Noto Sans" w:eastAsia="Calibri" w:hAnsi="Noto Sans" w:cs="Noto Sans"/>
          <w:sz w:val="20"/>
          <w:szCs w:val="20"/>
          <w:lang w:eastAsia="es-ES"/>
        </w:rPr>
        <w:lastRenderedPageBreak/>
        <w:t xml:space="preserve">Domínguez No. 1,000 col. Independencia, CP. 44340, Guadalajara Jalisco. Con horario de 8:30 am a 3:00pm. </w:t>
      </w:r>
    </w:p>
    <w:p w14:paraId="73670651" w14:textId="77777777" w:rsidR="0042648E" w:rsidRPr="0042648E" w:rsidRDefault="0042648E" w:rsidP="0042648E">
      <w:pPr>
        <w:jc w:val="both"/>
        <w:rPr>
          <w:rFonts w:ascii="Noto Sans" w:hAnsi="Noto Sans" w:cs="Noto Sans"/>
          <w:sz w:val="20"/>
          <w:szCs w:val="20"/>
          <w:lang w:val="es-MX"/>
        </w:rPr>
      </w:pPr>
      <w:r w:rsidRPr="0042648E">
        <w:rPr>
          <w:rFonts w:ascii="Noto Sans" w:hAnsi="Noto Sans" w:cs="Noto Sans"/>
          <w:b/>
          <w:sz w:val="20"/>
          <w:szCs w:val="20"/>
          <w:lang w:val="es-MX"/>
        </w:rPr>
        <w:t>-Caducidad:</w:t>
      </w:r>
      <w:r w:rsidRPr="0042648E">
        <w:rPr>
          <w:rFonts w:ascii="Noto Sans" w:hAnsi="Noto Sans" w:cs="Noto Sans"/>
          <w:sz w:val="20"/>
          <w:szCs w:val="20"/>
          <w:lang w:val="es-MX"/>
        </w:rPr>
        <w:t xml:space="preserve"> 12 meses como mínimo.</w:t>
      </w:r>
    </w:p>
    <w:p w14:paraId="526A4E08" w14:textId="77777777" w:rsidR="0042648E" w:rsidRPr="0042648E" w:rsidRDefault="0042648E" w:rsidP="0042648E">
      <w:pPr>
        <w:tabs>
          <w:tab w:val="left" w:pos="3735"/>
        </w:tabs>
        <w:jc w:val="both"/>
        <w:rPr>
          <w:rFonts w:ascii="Noto Sans" w:hAnsi="Noto Sans" w:cs="Noto Sans"/>
          <w:b/>
          <w:color w:val="000000" w:themeColor="text1"/>
          <w:sz w:val="20"/>
          <w:szCs w:val="20"/>
          <w:u w:val="single"/>
        </w:rPr>
      </w:pPr>
    </w:p>
    <w:p w14:paraId="53406571" w14:textId="77777777" w:rsidR="0042648E" w:rsidRPr="0042648E" w:rsidRDefault="0042648E" w:rsidP="0042648E">
      <w:pPr>
        <w:pStyle w:val="Sinespaciado"/>
        <w:jc w:val="both"/>
        <w:rPr>
          <w:rFonts w:ascii="Noto Sans" w:eastAsiaTheme="minorEastAsia" w:hAnsi="Noto Sans" w:cs="Noto Sans"/>
          <w:sz w:val="20"/>
          <w:szCs w:val="20"/>
          <w:lang w:val="es-ES_tradnl"/>
        </w:rPr>
      </w:pPr>
      <w:r w:rsidRPr="0042648E">
        <w:rPr>
          <w:rFonts w:ascii="Noto Sans" w:eastAsiaTheme="minorEastAsia" w:hAnsi="Noto Sans" w:cs="Noto Sans"/>
          <w:b/>
          <w:sz w:val="20"/>
          <w:szCs w:val="20"/>
          <w:lang w:val="es-ES_tradnl"/>
        </w:rPr>
        <w:t>N- Aviso de Privacidad</w:t>
      </w:r>
      <w:r w:rsidRPr="0042648E">
        <w:rPr>
          <w:rFonts w:ascii="Noto Sans" w:eastAsiaTheme="minorEastAsia" w:hAnsi="Noto Sans" w:cs="Noto Sans"/>
          <w:sz w:val="20"/>
          <w:szCs w:val="20"/>
          <w:lang w:val="es-ES_tradnl"/>
        </w:rPr>
        <w:t>: No aplica</w:t>
      </w:r>
    </w:p>
    <w:p w14:paraId="68808667" w14:textId="77777777" w:rsidR="0042648E" w:rsidRPr="0042648E" w:rsidRDefault="0042648E" w:rsidP="0042648E">
      <w:pPr>
        <w:pStyle w:val="Sinespaciado"/>
        <w:jc w:val="both"/>
        <w:rPr>
          <w:rFonts w:ascii="Noto Sans" w:eastAsiaTheme="minorEastAsia" w:hAnsi="Noto Sans" w:cs="Noto Sans"/>
          <w:sz w:val="20"/>
          <w:szCs w:val="20"/>
          <w:lang w:val="es-ES_tradnl"/>
        </w:rPr>
      </w:pPr>
    </w:p>
    <w:p w14:paraId="25B0FBE8" w14:textId="77777777" w:rsidR="0042648E" w:rsidRPr="0042648E" w:rsidRDefault="0042648E" w:rsidP="0042648E">
      <w:pPr>
        <w:pStyle w:val="Sinespaciado"/>
        <w:jc w:val="both"/>
        <w:rPr>
          <w:rFonts w:ascii="Noto Sans" w:eastAsiaTheme="minorEastAsia" w:hAnsi="Noto Sans" w:cs="Noto Sans"/>
          <w:sz w:val="20"/>
          <w:szCs w:val="20"/>
          <w:lang w:val="es-ES_tradnl"/>
        </w:rPr>
      </w:pPr>
      <w:r w:rsidRPr="0042648E">
        <w:rPr>
          <w:rFonts w:ascii="Noto Sans" w:eastAsiaTheme="minorEastAsia" w:hAnsi="Noto Sans" w:cs="Noto Sans"/>
          <w:b/>
          <w:sz w:val="20"/>
          <w:szCs w:val="20"/>
          <w:lang w:val="es-ES_tradnl"/>
        </w:rPr>
        <w:t>O- Seguro de responsabilidad Civil:</w:t>
      </w:r>
      <w:r w:rsidRPr="0042648E">
        <w:rPr>
          <w:rFonts w:ascii="Noto Sans" w:eastAsiaTheme="minorEastAsia" w:hAnsi="Noto Sans" w:cs="Noto Sans"/>
          <w:sz w:val="20"/>
          <w:szCs w:val="20"/>
          <w:lang w:val="es-ES_tradnl"/>
        </w:rPr>
        <w:t xml:space="preserve"> No aplica</w:t>
      </w:r>
    </w:p>
    <w:p w14:paraId="11BCA8A2" w14:textId="77777777" w:rsidR="0042648E" w:rsidRPr="0042648E" w:rsidRDefault="0042648E" w:rsidP="0042648E">
      <w:pPr>
        <w:pStyle w:val="Sinespaciado"/>
        <w:jc w:val="both"/>
        <w:rPr>
          <w:rFonts w:ascii="Noto Sans" w:eastAsiaTheme="minorEastAsia" w:hAnsi="Noto Sans" w:cs="Noto Sans"/>
          <w:sz w:val="20"/>
          <w:szCs w:val="20"/>
          <w:lang w:val="es-ES_tradnl"/>
        </w:rPr>
      </w:pPr>
    </w:p>
    <w:p w14:paraId="316FEEFF" w14:textId="0D9E0EEB" w:rsidR="00A25867" w:rsidRPr="0042648E" w:rsidRDefault="0042648E" w:rsidP="0042648E">
      <w:pPr>
        <w:rPr>
          <w:rFonts w:ascii="Noto Sans" w:hAnsi="Noto Sans" w:cs="Noto Sans"/>
          <w:sz w:val="20"/>
          <w:szCs w:val="20"/>
        </w:rPr>
      </w:pPr>
      <w:r w:rsidRPr="0042648E">
        <w:rPr>
          <w:rFonts w:ascii="Noto Sans" w:hAnsi="Noto Sans" w:cs="Noto Sans"/>
          <w:b/>
          <w:sz w:val="20"/>
          <w:szCs w:val="20"/>
          <w:lang w:val="es-ES_tradnl"/>
        </w:rPr>
        <w:t>P- Dictamen de protección Civil</w:t>
      </w:r>
      <w:r w:rsidRPr="0042648E">
        <w:rPr>
          <w:rFonts w:ascii="Noto Sans" w:hAnsi="Noto Sans" w:cs="Noto Sans"/>
          <w:sz w:val="20"/>
          <w:szCs w:val="20"/>
          <w:lang w:val="es-ES_tradnl"/>
        </w:rPr>
        <w:t>: No Aplica</w:t>
      </w:r>
    </w:p>
    <w:sectPr w:rsidR="00A25867" w:rsidRPr="0042648E" w:rsidSect="004424A7">
      <w:headerReference w:type="default" r:id="rId10"/>
      <w:footerReference w:type="default" r:id="rId11"/>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FEBA4" w14:textId="77777777" w:rsidR="007F14B6" w:rsidRDefault="007F14B6" w:rsidP="0039787C">
      <w:r>
        <w:separator/>
      </w:r>
    </w:p>
  </w:endnote>
  <w:endnote w:type="continuationSeparator" w:id="0">
    <w:p w14:paraId="5446A8B8" w14:textId="77777777" w:rsidR="007F14B6" w:rsidRDefault="007F14B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CC4C3E">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CC4C3E">
              <w:rPr>
                <w:rFonts w:ascii="Noto Sans" w:hAnsi="Noto Sans" w:cs="Noto Sans"/>
                <w:b/>
                <w:bCs/>
                <w:noProof/>
                <w:sz w:val="16"/>
                <w:szCs w:val="16"/>
              </w:rPr>
              <w:t>6</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D7A70" w14:textId="77777777" w:rsidR="007F14B6" w:rsidRDefault="007F14B6" w:rsidP="0039787C">
      <w:r>
        <w:separator/>
      </w:r>
    </w:p>
  </w:footnote>
  <w:footnote w:type="continuationSeparator" w:id="0">
    <w:p w14:paraId="0F78BA08" w14:textId="77777777" w:rsidR="007F14B6" w:rsidRDefault="007F14B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546BF52B">
              <wp:simplePos x="0" y="0"/>
              <wp:positionH relativeFrom="column">
                <wp:posOffset>2650490</wp:posOffset>
              </wp:positionH>
              <wp:positionV relativeFrom="paragraph">
                <wp:posOffset>-87630</wp:posOffset>
              </wp:positionV>
              <wp:extent cx="3124200" cy="1221105"/>
              <wp:effectExtent l="0" t="0" r="0" b="1714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11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2B556FE"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w:t>
                          </w:r>
                        </w:p>
                        <w:p w14:paraId="11D72D6F"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 Administrativa</w:t>
                          </w:r>
                        </w:p>
                        <w:p w14:paraId="06F6C907"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Departamento de Abastecimiento</w:t>
                          </w:r>
                        </w:p>
                        <w:p w14:paraId="448AD2E1"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Oficina de Adquisiciones</w:t>
                          </w:r>
                        </w:p>
                        <w:p w14:paraId="1CC8EA91" w14:textId="77777777" w:rsidR="007D17EE" w:rsidRDefault="007D17EE" w:rsidP="007D17EE">
                          <w:pPr>
                            <w:jc w:val="right"/>
                            <w:rPr>
                              <w:rFonts w:ascii="Noto Sans" w:hAnsi="Noto Sans" w:cs="Noto Sans"/>
                              <w:b/>
                              <w:bCs/>
                              <w:sz w:val="18"/>
                              <w:szCs w:val="18"/>
                            </w:rPr>
                          </w:pPr>
                          <w:r>
                            <w:rPr>
                              <w:rFonts w:ascii="Noto Sans" w:hAnsi="Noto Sans" w:cs="Noto Sans"/>
                              <w:b/>
                              <w:bCs/>
                              <w:sz w:val="18"/>
                              <w:szCs w:val="18"/>
                            </w:rPr>
                            <w:t>Adjudicación Directa Internacional</w:t>
                          </w:r>
                        </w:p>
                        <w:p w14:paraId="62DB7492" w14:textId="77777777" w:rsidR="007D17EE" w:rsidRPr="004424A7" w:rsidRDefault="007D17EE" w:rsidP="007D17EE">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4F15845A" w:rsidR="008810AA" w:rsidRPr="00B52EBA" w:rsidRDefault="00CC4C3E" w:rsidP="00767784">
                          <w:pPr>
                            <w:ind w:left="142"/>
                            <w:jc w:val="right"/>
                            <w:rPr>
                              <w:sz w:val="18"/>
                              <w:szCs w:val="18"/>
                            </w:rPr>
                          </w:pPr>
                          <w:r w:rsidRPr="00CC4C3E">
                            <w:rPr>
                              <w:rFonts w:ascii="Noto Sans" w:hAnsi="Noto Sans" w:cs="Noto Sans"/>
                              <w:b/>
                              <w:bCs/>
                              <w:sz w:val="18"/>
                              <w:szCs w:val="18"/>
                            </w:rPr>
                            <w:t>AA-50-GYR-050GYR020-T-121-2025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7pt;margin-top:-6.9pt;width:246pt;height:9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DooA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zPsnQW/CTP5sY6/1FAS4JQUovFi5yy7bXzPXSEhNc0LBulYgGV/k2BPnuNiB3QW7MCQ0ExIENQ&#10;sTo/FrOTvDqZnU2Oq1k2mWbp6aSq0nxytazSKp0uF2fTy59DnKN9Ejjpc4+S3ysRvCr9WUjkMlIQ&#10;FLGLxUJZsmXYf4xzoX1kL0aI6ICSmMVbDAd8zCPm9xbjnpHxZdD+YNw2Gmzk+1XY9dcxZNnjsWgv&#10;8g6i71bd0CsrqPfYKhb6UXOGLxss5zVz/o5ZnC1sAdwX/hYPqWBXUhgkStZgv/9NH/DY8nhLyQ5n&#10;taTu24ZZQYn6pHEYwmCPgh2F1SjoTbsApD/DTWR4FNHAejWK0kL7iGukCq/gFdMc3yqpH8WF7zcG&#10;riEuqiqCcHwN89f63vDgOlQjNOdD98isGTrYY8fcwDjFrHjVyD02WGqoNh5kE7s8ENqzOBCNox/n&#10;ZFhTYbe8/I+o52U6/wUAAP//AwBQSwMEFAAGAAgAAAAhAFr+FxLgAAAACwEAAA8AAABkcnMvZG93&#10;bnJldi54bWxMj8FOwzAMhu9IvENkJG5bUhjb2jWdJgQnJERXDjumTdZGa5zSZFt5e8wJjrY//f7+&#10;fDu5nl3MGKxHCclcADPYeG2xlfBZvc7WwEJUqFXv0Uj4NgG2xe1NrjLtr1iayz62jEIwZEpCF+OQ&#10;cR6azjgV5n4wSLejH52KNI4t16O6Urjr+YMQS+6URfrQqcE8d6Y57c9Owu6A5Yv9eq8/ymNpqyoV&#10;+LY8SXl/N+02wKKZ4h8Mv/qkDgU51f6MOrBewiJZLQiVMEseqQMRqUhpUxO6Wj8BL3L+v0PxAwAA&#10;//8DAFBLAQItABQABgAIAAAAIQC2gziS/gAAAOEBAAATAAAAAAAAAAAAAAAAAAAAAABbQ29udGVu&#10;dF9UeXBlc10ueG1sUEsBAi0AFAAGAAgAAAAhADj9If/WAAAAlAEAAAsAAAAAAAAAAAAAAAAALwEA&#10;AF9yZWxzLy5yZWxzUEsBAi0AFAAGAAgAAAAhALzrIOigAgAAlAUAAA4AAAAAAAAAAAAAAAAALgIA&#10;AGRycy9lMm9Eb2MueG1sUEsBAi0AFAAGAAgAAAAhAFr+FxLgAAAACwEAAA8AAAAAAAAAAAAAAAAA&#10;+gQAAGRycy9kb3ducmV2LnhtbFBLBQYAAAAABAAEAPMAAAAHBgAAAAA=&#10;" filled="f" stroked="f">
              <v:textbox inset="0,0,0,0">
                <w:txbxContent>
                  <w:p w14:paraId="282F3732" w14:textId="77777777" w:rsidR="00816339" w:rsidRDefault="00816339" w:rsidP="00767784">
                    <w:pPr>
                      <w:jc w:val="right"/>
                      <w:rPr>
                        <w:rFonts w:ascii="Noto Sans" w:hAnsi="Noto Sans" w:cs="Noto Sans"/>
                        <w:sz w:val="16"/>
                        <w:szCs w:val="16"/>
                      </w:rPr>
                    </w:pPr>
                  </w:p>
                  <w:p w14:paraId="52B556FE"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w:t>
                    </w:r>
                  </w:p>
                  <w:p w14:paraId="11D72D6F"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Dirección Administrativa</w:t>
                    </w:r>
                  </w:p>
                  <w:p w14:paraId="06F6C907"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Departamento de Abastecimiento</w:t>
                    </w:r>
                  </w:p>
                  <w:p w14:paraId="448AD2E1" w14:textId="77777777" w:rsidR="007D17EE" w:rsidRPr="004424A7" w:rsidRDefault="007D17EE" w:rsidP="007D17EE">
                    <w:pPr>
                      <w:jc w:val="right"/>
                      <w:rPr>
                        <w:rFonts w:ascii="Noto Sans" w:hAnsi="Noto Sans" w:cs="Noto Sans"/>
                        <w:sz w:val="18"/>
                        <w:szCs w:val="18"/>
                      </w:rPr>
                    </w:pPr>
                    <w:r w:rsidRPr="004424A7">
                      <w:rPr>
                        <w:rFonts w:ascii="Noto Sans" w:hAnsi="Noto Sans" w:cs="Noto Sans"/>
                        <w:sz w:val="18"/>
                        <w:szCs w:val="18"/>
                      </w:rPr>
                      <w:t>Oficina de Adquisiciones</w:t>
                    </w:r>
                  </w:p>
                  <w:p w14:paraId="1CC8EA91" w14:textId="77777777" w:rsidR="007D17EE" w:rsidRDefault="007D17EE" w:rsidP="007D17EE">
                    <w:pPr>
                      <w:jc w:val="right"/>
                      <w:rPr>
                        <w:rFonts w:ascii="Noto Sans" w:hAnsi="Noto Sans" w:cs="Noto Sans"/>
                        <w:b/>
                        <w:bCs/>
                        <w:sz w:val="18"/>
                        <w:szCs w:val="18"/>
                      </w:rPr>
                    </w:pPr>
                    <w:r>
                      <w:rPr>
                        <w:rFonts w:ascii="Noto Sans" w:hAnsi="Noto Sans" w:cs="Noto Sans"/>
                        <w:b/>
                        <w:bCs/>
                        <w:sz w:val="18"/>
                        <w:szCs w:val="18"/>
                      </w:rPr>
                      <w:t>Adjudicación Directa Internacional</w:t>
                    </w:r>
                  </w:p>
                  <w:p w14:paraId="62DB7492" w14:textId="77777777" w:rsidR="007D17EE" w:rsidRPr="004424A7" w:rsidRDefault="007D17EE" w:rsidP="007D17EE">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4F15845A" w:rsidR="008810AA" w:rsidRPr="00B52EBA" w:rsidRDefault="00CC4C3E" w:rsidP="00767784">
                    <w:pPr>
                      <w:ind w:left="142"/>
                      <w:jc w:val="right"/>
                      <w:rPr>
                        <w:sz w:val="18"/>
                        <w:szCs w:val="18"/>
                      </w:rPr>
                    </w:pPr>
                    <w:r w:rsidRPr="00CC4C3E">
                      <w:rPr>
                        <w:rFonts w:ascii="Noto Sans" w:hAnsi="Noto Sans" w:cs="Noto Sans"/>
                        <w:b/>
                        <w:bCs/>
                        <w:sz w:val="18"/>
                        <w:szCs w:val="18"/>
                      </w:rPr>
                      <w:t>AA-50-GYR-050GYR020-T-121-2025</w:t>
                    </w: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8">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F3F020A"/>
    <w:multiLevelType w:val="hybridMultilevel"/>
    <w:tmpl w:val="B7D03CA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85010"/>
    <w:rsid w:val="00391FC3"/>
    <w:rsid w:val="0039787C"/>
    <w:rsid w:val="003A7652"/>
    <w:rsid w:val="003A7F82"/>
    <w:rsid w:val="003C0448"/>
    <w:rsid w:val="0041602A"/>
    <w:rsid w:val="0042648E"/>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E2364"/>
    <w:rsid w:val="005E2913"/>
    <w:rsid w:val="005F3E45"/>
    <w:rsid w:val="006026C8"/>
    <w:rsid w:val="00607965"/>
    <w:rsid w:val="00613777"/>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D17EE"/>
    <w:rsid w:val="007E7595"/>
    <w:rsid w:val="007F14B6"/>
    <w:rsid w:val="007F534C"/>
    <w:rsid w:val="00805925"/>
    <w:rsid w:val="0081032B"/>
    <w:rsid w:val="00813374"/>
    <w:rsid w:val="008149BD"/>
    <w:rsid w:val="008152C1"/>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25867"/>
    <w:rsid w:val="00A35CA9"/>
    <w:rsid w:val="00A40AC8"/>
    <w:rsid w:val="00A46621"/>
    <w:rsid w:val="00A473BD"/>
    <w:rsid w:val="00A50916"/>
    <w:rsid w:val="00A66BCF"/>
    <w:rsid w:val="00A72C56"/>
    <w:rsid w:val="00A92549"/>
    <w:rsid w:val="00AD003A"/>
    <w:rsid w:val="00AE3ADE"/>
    <w:rsid w:val="00B0615C"/>
    <w:rsid w:val="00B06BB4"/>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CC4C3E"/>
    <w:rsid w:val="00D209C6"/>
    <w:rsid w:val="00D223BC"/>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i.imss.gob.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028D-DB71-4269-BD76-75969854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6</Pages>
  <Words>2754</Words>
  <Characters>15150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2025-06-23T19:57:00Z</dcterms:modified>
</cp:coreProperties>
</file>