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72CA319F" w:rsidR="006A582D" w:rsidRPr="005D22AE" w:rsidRDefault="006A582D" w:rsidP="006A582D">
      <w:pPr>
        <w:jc w:val="center"/>
        <w:rPr>
          <w:rFonts w:ascii="Noto Sans" w:hAnsi="Noto Sans" w:cs="Noto Sans"/>
          <w:b/>
          <w:sz w:val="20"/>
          <w:szCs w:val="20"/>
        </w:rPr>
      </w:pPr>
      <w:r w:rsidRPr="005D22AE">
        <w:rPr>
          <w:rFonts w:ascii="Noto Sans" w:hAnsi="Noto Sans" w:cs="Noto Sans"/>
          <w:b/>
          <w:sz w:val="20"/>
          <w:szCs w:val="20"/>
        </w:rPr>
        <w:t>ANEXO 4</w:t>
      </w:r>
      <w:r w:rsidR="00FD7DA1" w:rsidRPr="005D22AE">
        <w:rPr>
          <w:rFonts w:ascii="Noto Sans" w:hAnsi="Noto Sans" w:cs="Noto Sans"/>
          <w:b/>
          <w:sz w:val="20"/>
          <w:szCs w:val="20"/>
        </w:rPr>
        <w:t>A</w:t>
      </w:r>
      <w:r w:rsidRPr="005D22AE">
        <w:rPr>
          <w:rFonts w:ascii="Noto Sans" w:hAnsi="Noto Sans" w:cs="Noto Sans"/>
          <w:b/>
          <w:sz w:val="20"/>
          <w:szCs w:val="20"/>
        </w:rPr>
        <w:t xml:space="preserve"> (CUATRO</w:t>
      </w:r>
      <w:r w:rsidR="002A1DAE" w:rsidRPr="005D22AE">
        <w:rPr>
          <w:rFonts w:ascii="Noto Sans" w:hAnsi="Noto Sans" w:cs="Noto Sans"/>
          <w:b/>
          <w:sz w:val="20"/>
          <w:szCs w:val="20"/>
        </w:rPr>
        <w:t xml:space="preserve"> </w:t>
      </w:r>
      <w:r w:rsidR="00FD7DA1" w:rsidRPr="005D22AE">
        <w:rPr>
          <w:rFonts w:ascii="Noto Sans" w:hAnsi="Noto Sans" w:cs="Noto Sans"/>
          <w:b/>
          <w:sz w:val="20"/>
          <w:szCs w:val="20"/>
        </w:rPr>
        <w:t>A</w:t>
      </w:r>
      <w:r w:rsidRPr="005D22AE">
        <w:rPr>
          <w:rFonts w:ascii="Noto Sans" w:hAnsi="Noto Sans" w:cs="Noto Sans"/>
          <w:b/>
          <w:sz w:val="20"/>
          <w:szCs w:val="20"/>
        </w:rPr>
        <w:t>)</w:t>
      </w:r>
    </w:p>
    <w:p w14:paraId="4E4E063A" w14:textId="77777777" w:rsidR="006A582D" w:rsidRPr="005D22AE" w:rsidRDefault="006A582D" w:rsidP="006A582D">
      <w:pPr>
        <w:jc w:val="center"/>
        <w:rPr>
          <w:rFonts w:ascii="Noto Sans" w:hAnsi="Noto Sans" w:cs="Noto Sans"/>
          <w:b/>
          <w:sz w:val="20"/>
          <w:szCs w:val="20"/>
        </w:rPr>
      </w:pPr>
    </w:p>
    <w:p w14:paraId="10261D1D" w14:textId="77777777" w:rsidR="002A1DAE" w:rsidRPr="005D22AE" w:rsidRDefault="002A1DAE" w:rsidP="002A1DAE">
      <w:pPr>
        <w:jc w:val="center"/>
        <w:rPr>
          <w:rFonts w:ascii="Noto Sans" w:eastAsia="Times New Roman" w:hAnsi="Noto Sans" w:cs="Noto Sans"/>
          <w:b/>
          <w:bCs/>
          <w:color w:val="000000"/>
          <w:sz w:val="20"/>
          <w:szCs w:val="20"/>
          <w:lang w:val="es-MX" w:eastAsia="es-MX"/>
        </w:rPr>
      </w:pPr>
      <w:r w:rsidRPr="005D22AE">
        <w:rPr>
          <w:rFonts w:ascii="Noto Sans" w:eastAsia="Times New Roman" w:hAnsi="Noto Sans" w:cs="Noto Sans"/>
          <w:b/>
          <w:bCs/>
          <w:color w:val="000000"/>
          <w:sz w:val="20"/>
          <w:szCs w:val="20"/>
          <w:lang w:val="es-MX" w:eastAsia="es-MX"/>
        </w:rPr>
        <w:t>TÉRMINOS Y CONDICIONES DE CONTRATACIÓN</w:t>
      </w:r>
    </w:p>
    <w:p w14:paraId="2137A5CC" w14:textId="77777777" w:rsidR="002A1DAE" w:rsidRPr="005D22AE" w:rsidRDefault="002A1DAE" w:rsidP="002A1DAE">
      <w:pPr>
        <w:jc w:val="both"/>
        <w:rPr>
          <w:rFonts w:ascii="Noto Sans" w:eastAsia="Times New Roman" w:hAnsi="Noto Sans" w:cs="Noto Sans"/>
          <w:b/>
          <w:bCs/>
          <w:color w:val="000000"/>
          <w:sz w:val="20"/>
          <w:szCs w:val="20"/>
          <w:u w:val="single"/>
          <w:lang w:val="es-MX" w:eastAsia="es-MX"/>
        </w:rPr>
      </w:pPr>
      <w:bookmarkStart w:id="0" w:name="_GoBack"/>
      <w:bookmarkEnd w:id="0"/>
    </w:p>
    <w:p w14:paraId="6EE048CA" w14:textId="77777777" w:rsidR="002A1DAE" w:rsidRPr="005D22AE" w:rsidRDefault="002A1DAE" w:rsidP="002A1DAE">
      <w:pPr>
        <w:jc w:val="both"/>
        <w:rPr>
          <w:rFonts w:ascii="Noto Sans" w:eastAsia="Times New Roman" w:hAnsi="Noto Sans" w:cs="Noto Sans"/>
          <w:b/>
          <w:bCs/>
          <w:color w:val="000000"/>
          <w:sz w:val="20"/>
          <w:szCs w:val="20"/>
          <w:u w:val="single"/>
          <w:lang w:val="es-MX" w:eastAsia="es-MX"/>
        </w:rPr>
      </w:pPr>
    </w:p>
    <w:p w14:paraId="17D773D0" w14:textId="77777777" w:rsidR="0092173B" w:rsidRPr="005D22AE" w:rsidRDefault="0092173B" w:rsidP="0092173B">
      <w:pPr>
        <w:pStyle w:val="Prrafodelista"/>
        <w:numPr>
          <w:ilvl w:val="0"/>
          <w:numId w:val="1"/>
        </w:numPr>
        <w:spacing w:after="160" w:line="254" w:lineRule="auto"/>
        <w:jc w:val="both"/>
        <w:rPr>
          <w:rFonts w:ascii="Noto Sans" w:eastAsia="Times New Roman" w:hAnsi="Noto Sans" w:cs="Noto Sans"/>
          <w:b/>
          <w:bCs/>
          <w:color w:val="000000"/>
          <w:sz w:val="20"/>
          <w:szCs w:val="20"/>
          <w:lang w:val="es-MX" w:eastAsia="es-MX"/>
        </w:rPr>
      </w:pPr>
      <w:r w:rsidRPr="005D22AE">
        <w:rPr>
          <w:rFonts w:ascii="Noto Sans" w:eastAsia="Times New Roman" w:hAnsi="Noto Sans" w:cs="Noto Sans"/>
          <w:b/>
          <w:bCs/>
          <w:color w:val="000000"/>
          <w:sz w:val="20"/>
          <w:szCs w:val="20"/>
          <w:lang w:eastAsia="es-MX"/>
        </w:rPr>
        <w:t>VIGENCIA DE CONTRATO.</w:t>
      </w:r>
    </w:p>
    <w:p w14:paraId="3F82C057" w14:textId="77777777" w:rsidR="0092173B" w:rsidRPr="005D22AE" w:rsidRDefault="0092173B" w:rsidP="0092173B">
      <w:pPr>
        <w:jc w:val="both"/>
        <w:rPr>
          <w:rFonts w:ascii="Noto Sans" w:eastAsia="Times New Roman" w:hAnsi="Noto Sans" w:cs="Noto Sans"/>
          <w:color w:val="000000"/>
          <w:sz w:val="20"/>
          <w:szCs w:val="20"/>
          <w:lang w:eastAsia="es-MX"/>
        </w:rPr>
      </w:pPr>
      <w:r w:rsidRPr="005D22AE">
        <w:rPr>
          <w:rFonts w:ascii="Noto Sans" w:eastAsia="Times New Roman" w:hAnsi="Noto Sans" w:cs="Noto Sans"/>
          <w:b/>
          <w:bCs/>
          <w:color w:val="000000"/>
          <w:sz w:val="20"/>
          <w:szCs w:val="20"/>
          <w:lang w:eastAsia="es-MX"/>
        </w:rPr>
        <w:t xml:space="preserve"> </w:t>
      </w:r>
      <w:r w:rsidRPr="005D22AE">
        <w:rPr>
          <w:rFonts w:ascii="Noto Sans" w:eastAsia="Times New Roman" w:hAnsi="Noto Sans" w:cs="Noto Sans"/>
          <w:color w:val="000000"/>
          <w:sz w:val="20"/>
          <w:szCs w:val="20"/>
          <w:lang w:eastAsia="es-MX"/>
        </w:rPr>
        <w:t>A partir de la firma del contrato hasta el 31 de diciembre del 2025.</w:t>
      </w:r>
    </w:p>
    <w:p w14:paraId="161991EA" w14:textId="77777777" w:rsidR="0092173B" w:rsidRPr="005D22AE" w:rsidRDefault="0092173B" w:rsidP="0092173B">
      <w:pPr>
        <w:jc w:val="both"/>
        <w:rPr>
          <w:rFonts w:ascii="Noto Sans" w:eastAsia="Times New Roman" w:hAnsi="Noto Sans" w:cs="Noto Sans"/>
          <w:color w:val="000000"/>
          <w:sz w:val="20"/>
          <w:szCs w:val="20"/>
          <w:lang w:eastAsia="es-MX"/>
        </w:rPr>
      </w:pPr>
    </w:p>
    <w:p w14:paraId="6DFF7C58" w14:textId="77777777" w:rsidR="0092173B" w:rsidRPr="005D22AE" w:rsidRDefault="0092173B" w:rsidP="0092173B">
      <w:pPr>
        <w:pStyle w:val="Prrafodelista"/>
        <w:numPr>
          <w:ilvl w:val="0"/>
          <w:numId w:val="1"/>
        </w:numPr>
        <w:spacing w:after="160" w:line="254" w:lineRule="auto"/>
        <w:jc w:val="both"/>
        <w:rPr>
          <w:rFonts w:ascii="Noto Sans" w:eastAsia="Times New Roman" w:hAnsi="Noto Sans" w:cs="Noto Sans"/>
          <w:b/>
          <w:color w:val="000000"/>
          <w:sz w:val="20"/>
          <w:szCs w:val="20"/>
          <w:lang w:eastAsia="es-MX"/>
        </w:rPr>
      </w:pPr>
      <w:r w:rsidRPr="005D22AE">
        <w:rPr>
          <w:rFonts w:ascii="Noto Sans" w:eastAsia="Times New Roman" w:hAnsi="Noto Sans" w:cs="Noto Sans"/>
          <w:b/>
          <w:color w:val="000000"/>
          <w:sz w:val="20"/>
          <w:szCs w:val="20"/>
          <w:lang w:eastAsia="es-MX"/>
        </w:rPr>
        <w:t>PLAZO, LUGAR Y CONDICIONES DE ENTREGA.</w:t>
      </w:r>
    </w:p>
    <w:p w14:paraId="7D5240F7" w14:textId="77777777" w:rsidR="0092173B" w:rsidRPr="005D22AE" w:rsidRDefault="0092173B" w:rsidP="0092173B">
      <w:pPr>
        <w:pStyle w:val="Default"/>
        <w:jc w:val="both"/>
        <w:rPr>
          <w:rFonts w:ascii="Noto Sans" w:hAnsi="Noto Sans" w:cs="Noto Sans"/>
          <w:b/>
          <w:sz w:val="20"/>
          <w:szCs w:val="20"/>
        </w:rPr>
      </w:pPr>
      <w:r w:rsidRPr="005D22AE">
        <w:rPr>
          <w:rFonts w:ascii="Noto Sans" w:hAnsi="Noto Sans" w:cs="Noto Sans"/>
          <w:b/>
          <w:sz w:val="20"/>
          <w:szCs w:val="20"/>
        </w:rPr>
        <w:t>PLAZO Y LUGAR DE ENTREGA:</w:t>
      </w:r>
    </w:p>
    <w:p w14:paraId="57932D74" w14:textId="77777777" w:rsidR="0092173B" w:rsidRPr="005D22AE" w:rsidRDefault="0092173B" w:rsidP="0092173B">
      <w:pPr>
        <w:pStyle w:val="Default"/>
        <w:jc w:val="both"/>
        <w:rPr>
          <w:rFonts w:ascii="Noto Sans" w:hAnsi="Noto Sans" w:cs="Noto Sans"/>
          <w:sz w:val="20"/>
          <w:szCs w:val="20"/>
        </w:rPr>
      </w:pPr>
    </w:p>
    <w:p w14:paraId="4443A05E" w14:textId="77777777" w:rsidR="0092173B" w:rsidRPr="005D22AE" w:rsidRDefault="0092173B" w:rsidP="0092173B">
      <w:pPr>
        <w:pStyle w:val="Default"/>
        <w:jc w:val="both"/>
        <w:rPr>
          <w:rFonts w:ascii="Noto Sans" w:hAnsi="Noto Sans" w:cs="Noto Sans"/>
          <w:sz w:val="20"/>
          <w:szCs w:val="20"/>
        </w:rPr>
      </w:pPr>
      <w:r w:rsidRPr="005D22AE">
        <w:rPr>
          <w:rFonts w:ascii="Noto Sans" w:hAnsi="Noto Sans" w:cs="Noto Sans"/>
          <w:sz w:val="20"/>
          <w:szCs w:val="20"/>
        </w:rPr>
        <w:t>El plazo, lugar y condiciones de entrega y canje o devolución se realizaran conforme al Requerimiento, Anexo Técnico y Términos y Condiciones, los cuales forman parte integrante de esta Convocatoria.</w:t>
      </w:r>
    </w:p>
    <w:p w14:paraId="716C1F32" w14:textId="77777777" w:rsidR="0092173B" w:rsidRPr="005D22AE" w:rsidRDefault="0092173B" w:rsidP="0092173B">
      <w:pPr>
        <w:pStyle w:val="Default"/>
        <w:jc w:val="both"/>
        <w:rPr>
          <w:rFonts w:ascii="Noto Sans" w:hAnsi="Noto Sans" w:cs="Noto Sans"/>
          <w:sz w:val="20"/>
          <w:szCs w:val="20"/>
        </w:rPr>
      </w:pPr>
      <w:r w:rsidRPr="005D22AE">
        <w:rPr>
          <w:rFonts w:ascii="Noto Sans" w:hAnsi="Noto Sans" w:cs="Noto Sans"/>
          <w:sz w:val="20"/>
          <w:szCs w:val="20"/>
        </w:rPr>
        <w:t xml:space="preserve"> El licitante ganador podrá entregar los bienes antes del vencimiento del plazo establecido para tal efecto, previa conformidad del área adquirente.   Las ordenes de reposición deberán realizarse dentro de los 15 días naturales posteriores a la emisión de la Orden de Reposición correspondiente, la que deberá contener la información señalada en el Anexo Número 6 (seis), el cual forma parte de la presente convocatoria, considerándose este plazo como entrega oportuna, y hasta un máximo de cuatro días de entrega con atraso.  El proveedor podrá entregar los bienes antes del vencimiento del plazo establecido para tal efecto, previa conformidad de El Instituto.</w:t>
      </w:r>
    </w:p>
    <w:p w14:paraId="5BF5B454" w14:textId="77777777" w:rsidR="0092173B" w:rsidRPr="005D22AE" w:rsidRDefault="0092173B" w:rsidP="0092173B">
      <w:pPr>
        <w:pStyle w:val="Default"/>
        <w:jc w:val="both"/>
        <w:rPr>
          <w:rFonts w:ascii="Noto Sans" w:hAnsi="Noto Sans" w:cs="Noto Sans"/>
          <w:sz w:val="20"/>
          <w:szCs w:val="20"/>
        </w:rPr>
      </w:pPr>
    </w:p>
    <w:p w14:paraId="7C13DB65" w14:textId="77777777" w:rsidR="0092173B" w:rsidRPr="005D22AE" w:rsidRDefault="0092173B" w:rsidP="0092173B">
      <w:pPr>
        <w:pStyle w:val="Default"/>
        <w:jc w:val="both"/>
        <w:rPr>
          <w:rFonts w:ascii="Noto Sans" w:hAnsi="Noto Sans" w:cs="Noto Sans"/>
          <w:sz w:val="20"/>
          <w:szCs w:val="20"/>
        </w:rPr>
      </w:pPr>
      <w:r w:rsidRPr="005D22AE">
        <w:rPr>
          <w:rFonts w:ascii="Noto Sans" w:hAnsi="Noto Sans" w:cs="Noto Sans"/>
          <w:sz w:val="20"/>
          <w:szCs w:val="20"/>
        </w:rPr>
        <w:t xml:space="preserve">Las Órdenes de Reposición que genere El Instituto, serán hechas del conocimiento del proveedor, vía Internet, a través de la dirección electrónica (http://sai.imss.gob.mx). </w:t>
      </w:r>
    </w:p>
    <w:p w14:paraId="20D4AC93" w14:textId="77777777" w:rsidR="0092173B" w:rsidRPr="005D22AE" w:rsidRDefault="0092173B" w:rsidP="0092173B">
      <w:pPr>
        <w:pStyle w:val="Default"/>
        <w:jc w:val="both"/>
        <w:rPr>
          <w:rFonts w:ascii="Noto Sans" w:hAnsi="Noto Sans" w:cs="Noto Sans"/>
          <w:sz w:val="20"/>
          <w:szCs w:val="20"/>
        </w:rPr>
      </w:pPr>
    </w:p>
    <w:p w14:paraId="19ED590C" w14:textId="77777777" w:rsidR="0092173B" w:rsidRPr="005D22AE" w:rsidRDefault="0092173B" w:rsidP="0092173B">
      <w:pPr>
        <w:pStyle w:val="Default"/>
        <w:jc w:val="both"/>
        <w:rPr>
          <w:rFonts w:ascii="Noto Sans" w:hAnsi="Noto Sans" w:cs="Noto Sans"/>
          <w:sz w:val="20"/>
          <w:szCs w:val="20"/>
        </w:rPr>
      </w:pPr>
      <w:r w:rsidRPr="005D22AE">
        <w:rPr>
          <w:rFonts w:ascii="Noto Sans" w:hAnsi="Noto Sans" w:cs="Noto Sans"/>
          <w:sz w:val="20"/>
          <w:szCs w:val="20"/>
        </w:rPr>
        <w:t xml:space="preserve">El proveedor se obliga a entregar los bienes perfectamente empacados, con las envolturas originales del fabricante y en condiciones de embalaje que los resguarden del polvo y la humedad. </w:t>
      </w:r>
    </w:p>
    <w:p w14:paraId="417DEC70" w14:textId="77777777" w:rsidR="0092173B" w:rsidRPr="005D22AE" w:rsidRDefault="0092173B" w:rsidP="0092173B">
      <w:pPr>
        <w:pStyle w:val="Default"/>
        <w:jc w:val="both"/>
        <w:rPr>
          <w:rFonts w:ascii="Noto Sans" w:hAnsi="Noto Sans" w:cs="Noto Sans"/>
          <w:sz w:val="20"/>
          <w:szCs w:val="20"/>
        </w:rPr>
      </w:pPr>
    </w:p>
    <w:p w14:paraId="16E45EAE" w14:textId="77777777" w:rsidR="0092173B" w:rsidRPr="005D22AE" w:rsidRDefault="0092173B" w:rsidP="0092173B">
      <w:pPr>
        <w:pStyle w:val="Default"/>
        <w:jc w:val="both"/>
        <w:rPr>
          <w:rFonts w:ascii="Noto Sans" w:hAnsi="Noto Sans" w:cs="Noto Sans"/>
          <w:sz w:val="20"/>
          <w:szCs w:val="20"/>
        </w:rPr>
      </w:pPr>
      <w:r w:rsidRPr="005D22AE">
        <w:rPr>
          <w:rFonts w:ascii="Noto Sans" w:hAnsi="Noto Sans" w:cs="Noto Sans"/>
          <w:sz w:val="20"/>
          <w:szCs w:val="20"/>
        </w:rPr>
        <w:t>Los gastos de transportación de los bienes, las maniobras de carga y descarga en el andén del lugar de entrega, así como el aseguramiento de los mismos, serán a cargo del proveedor, hasta que estos sean recibidos de conformidad por El Instituto.</w:t>
      </w:r>
    </w:p>
    <w:p w14:paraId="5210F275" w14:textId="77777777" w:rsidR="0092173B" w:rsidRPr="005D22AE" w:rsidRDefault="0092173B" w:rsidP="0092173B">
      <w:pPr>
        <w:pStyle w:val="Default"/>
        <w:jc w:val="both"/>
        <w:rPr>
          <w:rFonts w:ascii="Noto Sans" w:hAnsi="Noto Sans" w:cs="Noto Sans"/>
          <w:sz w:val="20"/>
          <w:szCs w:val="20"/>
        </w:rPr>
      </w:pPr>
    </w:p>
    <w:p w14:paraId="6F3243A6" w14:textId="77777777" w:rsidR="0092173B" w:rsidRPr="005D22AE" w:rsidRDefault="0092173B" w:rsidP="0092173B">
      <w:pPr>
        <w:pStyle w:val="Default"/>
        <w:jc w:val="both"/>
        <w:rPr>
          <w:rFonts w:ascii="Noto Sans" w:hAnsi="Noto Sans" w:cs="Noto Sans"/>
          <w:b/>
          <w:sz w:val="20"/>
          <w:szCs w:val="20"/>
        </w:rPr>
      </w:pPr>
      <w:r w:rsidRPr="005D22AE">
        <w:rPr>
          <w:rFonts w:ascii="Noto Sans" w:hAnsi="Noto Sans" w:cs="Noto Sans"/>
          <w:b/>
          <w:sz w:val="20"/>
          <w:szCs w:val="20"/>
        </w:rPr>
        <w:t>CONDICIONES DE ENTREGA:</w:t>
      </w:r>
    </w:p>
    <w:p w14:paraId="765A2CA4" w14:textId="77777777" w:rsidR="0092173B" w:rsidRPr="005D22AE" w:rsidRDefault="0092173B" w:rsidP="0092173B">
      <w:pPr>
        <w:pStyle w:val="Default"/>
        <w:jc w:val="both"/>
        <w:rPr>
          <w:rFonts w:ascii="Noto Sans" w:hAnsi="Noto Sans" w:cs="Noto Sans"/>
          <w:sz w:val="20"/>
          <w:szCs w:val="20"/>
        </w:rPr>
      </w:pPr>
    </w:p>
    <w:p w14:paraId="7C6F7ACC" w14:textId="77777777" w:rsidR="0092173B" w:rsidRPr="005D22AE" w:rsidRDefault="0092173B" w:rsidP="0092173B">
      <w:pPr>
        <w:pStyle w:val="Default"/>
        <w:jc w:val="both"/>
        <w:rPr>
          <w:rFonts w:ascii="Noto Sans" w:hAnsi="Noto Sans" w:cs="Noto Sans"/>
          <w:sz w:val="20"/>
          <w:szCs w:val="20"/>
        </w:rPr>
      </w:pPr>
      <w:r w:rsidRPr="005D22AE">
        <w:rPr>
          <w:rFonts w:ascii="Noto Sans" w:hAnsi="Noto Sans" w:cs="Noto Sans"/>
          <w:sz w:val="20"/>
          <w:szCs w:val="20"/>
        </w:rPr>
        <w:t>Las condiciones de entrega de los bienes solicitados, se contempla en el Anexo Técnico y Términos y Condiciones, los cuales forman parte integrante de esta convocatoria.</w:t>
      </w:r>
    </w:p>
    <w:p w14:paraId="5BC6E19D" w14:textId="77777777" w:rsidR="0092173B" w:rsidRPr="005D22AE" w:rsidRDefault="0092173B" w:rsidP="0092173B">
      <w:pPr>
        <w:pStyle w:val="Default"/>
        <w:jc w:val="both"/>
        <w:rPr>
          <w:rFonts w:ascii="Noto Sans" w:hAnsi="Noto Sans" w:cs="Noto Sans"/>
          <w:sz w:val="20"/>
          <w:szCs w:val="20"/>
        </w:rPr>
      </w:pPr>
    </w:p>
    <w:p w14:paraId="77CA2776" w14:textId="77777777" w:rsidR="0092173B" w:rsidRPr="005D22AE" w:rsidRDefault="0092173B" w:rsidP="0092173B">
      <w:pPr>
        <w:pStyle w:val="Default"/>
        <w:jc w:val="both"/>
        <w:rPr>
          <w:rFonts w:ascii="Noto Sans" w:hAnsi="Noto Sans" w:cs="Noto Sans"/>
          <w:sz w:val="20"/>
          <w:szCs w:val="20"/>
        </w:rPr>
      </w:pPr>
      <w:r w:rsidRPr="005D22AE">
        <w:rPr>
          <w:rFonts w:ascii="Noto Sans" w:hAnsi="Noto Sans" w:cs="Noto Sans"/>
          <w:sz w:val="20"/>
          <w:szCs w:val="20"/>
        </w:rPr>
        <w:t xml:space="preserve">La transportación de los bienes, las maniobras de carga y descarga en el andén del lugar de entrega serán a cargo del proveedor, así como el aseguramiento de los bienes, hasta que estos sean recibidos de conformidad por el Instituto.  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w:t>
      </w:r>
      <w:r w:rsidRPr="005D22AE">
        <w:rPr>
          <w:rFonts w:ascii="Noto Sans" w:hAnsi="Noto Sans" w:cs="Noto Sans"/>
          <w:sz w:val="20"/>
          <w:szCs w:val="20"/>
        </w:rPr>
        <w:lastRenderedPageBreak/>
        <w:t>envases en buenas condiciones  Cabe resaltar que mientras no se cumpla con las condiciones de entrega establecidas en la presente convocatoria, el Instituto no dará por recibidos y aceptados los bienes.</w:t>
      </w:r>
    </w:p>
    <w:p w14:paraId="2158DB7F" w14:textId="21554230" w:rsidR="0092173B" w:rsidRPr="005D22AE" w:rsidRDefault="00E22EA5" w:rsidP="00E22EA5">
      <w:pPr>
        <w:pStyle w:val="Default"/>
        <w:tabs>
          <w:tab w:val="left" w:pos="1335"/>
        </w:tabs>
        <w:jc w:val="both"/>
        <w:rPr>
          <w:rFonts w:ascii="Noto Sans" w:hAnsi="Noto Sans" w:cs="Noto Sans"/>
          <w:sz w:val="20"/>
          <w:szCs w:val="20"/>
        </w:rPr>
      </w:pPr>
      <w:r w:rsidRPr="005D22AE">
        <w:rPr>
          <w:rFonts w:ascii="Noto Sans" w:hAnsi="Noto Sans" w:cs="Noto Sans"/>
          <w:sz w:val="20"/>
          <w:szCs w:val="20"/>
        </w:rPr>
        <w:tab/>
      </w:r>
    </w:p>
    <w:p w14:paraId="68E953E7" w14:textId="77777777" w:rsidR="0092173B" w:rsidRPr="005D22AE" w:rsidRDefault="0092173B" w:rsidP="0092173B">
      <w:pPr>
        <w:pStyle w:val="Default"/>
        <w:jc w:val="both"/>
        <w:rPr>
          <w:rFonts w:ascii="Noto Sans" w:hAnsi="Noto Sans" w:cs="Noto Sans"/>
          <w:sz w:val="20"/>
          <w:szCs w:val="20"/>
        </w:rPr>
      </w:pPr>
      <w:r w:rsidRPr="005D22AE">
        <w:rPr>
          <w:rFonts w:ascii="Noto Sans" w:hAnsi="Noto Sans" w:cs="Noto Sans"/>
          <w:sz w:val="20"/>
          <w:szCs w:val="20"/>
        </w:rPr>
        <w:t>El proveedor deberá entregar junto con los bienes: remisión en la que se indique el número de lote, fecha de caducidad (en caso de aplicar), número de piezas y descripción de los bienes; orden de reposición; en su caso, copia del programa de entregas.</w:t>
      </w:r>
    </w:p>
    <w:p w14:paraId="5A44AAAB" w14:textId="77777777" w:rsidR="0092173B" w:rsidRPr="005D22AE" w:rsidRDefault="0092173B" w:rsidP="0092173B">
      <w:pPr>
        <w:pStyle w:val="Default"/>
        <w:jc w:val="both"/>
        <w:rPr>
          <w:rFonts w:ascii="Noto Sans" w:hAnsi="Noto Sans" w:cs="Noto Sans"/>
          <w:sz w:val="20"/>
          <w:szCs w:val="20"/>
        </w:rPr>
      </w:pPr>
    </w:p>
    <w:p w14:paraId="17545597" w14:textId="77777777" w:rsidR="0092173B" w:rsidRPr="005D22AE" w:rsidRDefault="0092173B" w:rsidP="0092173B">
      <w:pPr>
        <w:pStyle w:val="Default"/>
        <w:jc w:val="both"/>
        <w:rPr>
          <w:rFonts w:ascii="Noto Sans" w:hAnsi="Noto Sans" w:cs="Noto Sans"/>
          <w:sz w:val="20"/>
          <w:szCs w:val="20"/>
        </w:rPr>
      </w:pPr>
      <w:r w:rsidRPr="005D22AE">
        <w:rPr>
          <w:rFonts w:ascii="Noto Sans" w:hAnsi="Noto Sans" w:cs="Noto Sans"/>
          <w:sz w:val="20"/>
          <w:szCs w:val="20"/>
        </w:rPr>
        <w:t>Se deberá de solicitar un contacto telefónico y por correo electrónico para notificaciones.</w:t>
      </w:r>
    </w:p>
    <w:p w14:paraId="196431D0" w14:textId="77777777" w:rsidR="0092173B" w:rsidRPr="005D22AE" w:rsidRDefault="0092173B" w:rsidP="0092173B">
      <w:pPr>
        <w:pStyle w:val="Default"/>
        <w:jc w:val="both"/>
        <w:rPr>
          <w:rFonts w:ascii="Noto Sans" w:hAnsi="Noto Sans" w:cs="Noto Sans"/>
          <w:sz w:val="20"/>
          <w:szCs w:val="20"/>
        </w:rPr>
      </w:pPr>
    </w:p>
    <w:p w14:paraId="33D7B5A1" w14:textId="77777777" w:rsidR="0092173B" w:rsidRPr="005D22AE" w:rsidRDefault="0092173B" w:rsidP="0092173B">
      <w:pPr>
        <w:pStyle w:val="Prrafodelista"/>
        <w:numPr>
          <w:ilvl w:val="0"/>
          <w:numId w:val="1"/>
        </w:numPr>
        <w:spacing w:after="160" w:line="254" w:lineRule="auto"/>
        <w:jc w:val="both"/>
        <w:rPr>
          <w:rFonts w:ascii="Noto Sans" w:eastAsia="Times New Roman" w:hAnsi="Noto Sans" w:cs="Noto Sans"/>
          <w:b/>
          <w:kern w:val="28"/>
          <w:sz w:val="20"/>
          <w:szCs w:val="20"/>
          <w:lang w:eastAsia="es-ES"/>
        </w:rPr>
      </w:pPr>
      <w:r w:rsidRPr="005D22AE">
        <w:rPr>
          <w:rFonts w:ascii="Noto Sans" w:eastAsia="Times New Roman" w:hAnsi="Noto Sans" w:cs="Noto Sans"/>
          <w:b/>
          <w:kern w:val="28"/>
          <w:sz w:val="20"/>
          <w:szCs w:val="20"/>
          <w:lang w:eastAsia="es-ES"/>
        </w:rPr>
        <w:t xml:space="preserve">CRITERIOS PARA LA EVALUACIÓN DE LAS PROPOSICIONES Y ADJUDICACIÓN DE LOS CONTRATOS. </w:t>
      </w:r>
    </w:p>
    <w:p w14:paraId="755FBCBF"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Los criterios que aplicará el área solicitante y/o técnica para evaluar las proposiciones, se basarán en la información documental presentada por los participantes conforme al requerimiento el cual forma parte de la presente convocatoria, así como la verificación de las características de las muestra presentadas,  con la finalidad de revisar que se entreguen conforme a la descripción del Catálogo de Artículos, con especificaciones de acuerdo al Anexo Técnico, observando para ello lo previsto en el artículo 47 Segundo párrafo de la Ley en lo relativo al criterio binario en virtud de que la convocante no requiere vincular las condiciones que deberán cumplir los proveedores con las características y especificaciones de los bienes a adquirir porque éstos se encuentran estandarizados en el mercado y el factor preponderante que considera para la adjudicación del contrato es el precio más bajo, cuya justificación obra en el expediente de contratación y 48 fracción II, de la Ley de Adquisiciones, Arrendamientos y Servicios del Sector Público.</w:t>
      </w:r>
    </w:p>
    <w:p w14:paraId="74D8F4BA" w14:textId="77777777" w:rsidR="0092173B" w:rsidRPr="005D22AE" w:rsidRDefault="0092173B" w:rsidP="0092173B">
      <w:pPr>
        <w:jc w:val="both"/>
        <w:rPr>
          <w:rFonts w:ascii="Noto Sans" w:eastAsia="Times New Roman" w:hAnsi="Noto Sans" w:cs="Noto Sans"/>
          <w:kern w:val="28"/>
          <w:sz w:val="20"/>
          <w:szCs w:val="20"/>
          <w:lang w:eastAsia="es-ES"/>
        </w:rPr>
      </w:pPr>
    </w:p>
    <w:p w14:paraId="423181D3"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Dichas muestras deberán de ser presentadas en el Departamento de Abastecimiento para su evaluación, de la siguiente manera:</w:t>
      </w:r>
    </w:p>
    <w:p w14:paraId="004E580B" w14:textId="77777777" w:rsidR="0092173B" w:rsidRPr="005D22AE" w:rsidRDefault="0092173B" w:rsidP="0092173B">
      <w:pPr>
        <w:jc w:val="both"/>
        <w:rPr>
          <w:rFonts w:ascii="Noto Sans" w:eastAsia="Times New Roman" w:hAnsi="Noto Sans" w:cs="Noto Sans"/>
          <w:kern w:val="28"/>
          <w:sz w:val="20"/>
          <w:szCs w:val="20"/>
          <w:lang w:eastAsia="es-ES"/>
        </w:rPr>
      </w:pPr>
    </w:p>
    <w:p w14:paraId="5894500C"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La evaluación se realizará comparando entre sí, en forma equivalente, todas las condiciones ofrecidas explícitamente por los participantes.</w:t>
      </w:r>
    </w:p>
    <w:p w14:paraId="4CCFC316" w14:textId="77777777" w:rsidR="0092173B" w:rsidRPr="005D22AE" w:rsidRDefault="0092173B" w:rsidP="0092173B">
      <w:pPr>
        <w:jc w:val="both"/>
        <w:rPr>
          <w:rFonts w:ascii="Noto Sans" w:eastAsia="Times New Roman" w:hAnsi="Noto Sans" w:cs="Noto Sans"/>
          <w:kern w:val="28"/>
          <w:sz w:val="20"/>
          <w:szCs w:val="20"/>
          <w:lang w:eastAsia="es-ES"/>
        </w:rPr>
      </w:pPr>
    </w:p>
    <w:p w14:paraId="597C0C57"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No serán objeto de evaluación, las condiciones establecidas por la convocante, que tengan como propósito facilitar la presentación de las proposiciones y agilizar los actos de la participación, así como cualquier otro requisito cuyo incumplimiento, por sí mismo, no afecte la solvencia de las propuestas de conformidad con el artículo 47 párrafo cuarto de la LAASSP.</w:t>
      </w:r>
    </w:p>
    <w:p w14:paraId="06F24E49" w14:textId="77777777" w:rsidR="0092173B" w:rsidRPr="005D22AE" w:rsidRDefault="0092173B" w:rsidP="0092173B">
      <w:pPr>
        <w:jc w:val="both"/>
        <w:rPr>
          <w:rFonts w:ascii="Noto Sans" w:eastAsia="Times New Roman" w:hAnsi="Noto Sans" w:cs="Noto Sans"/>
          <w:kern w:val="28"/>
          <w:sz w:val="20"/>
          <w:szCs w:val="20"/>
          <w:lang w:eastAsia="es-ES"/>
        </w:rPr>
      </w:pPr>
    </w:p>
    <w:p w14:paraId="18B1F07B"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De conformidad a lo establecido en el artículo 39 Fracción III inciso D) del Reglamento de la Ley de Adquisiciones, Arrendamientos y Servicios del Sector Público se informa a los licitantes que una vez recibidas las proposiciones en la fecha, hora y lugar establecidos, éstas no podrán retirarse o dejarse sin efecto, por lo que deberán considerarse vigentes dentro del procedimiento de licitación hasta su conclusión.</w:t>
      </w:r>
    </w:p>
    <w:p w14:paraId="7D636DBB" w14:textId="77777777" w:rsidR="0092173B" w:rsidRPr="005D22AE" w:rsidRDefault="0092173B" w:rsidP="0092173B">
      <w:pPr>
        <w:jc w:val="both"/>
        <w:rPr>
          <w:rFonts w:ascii="Noto Sans" w:eastAsia="Times New Roman" w:hAnsi="Noto Sans" w:cs="Noto Sans"/>
          <w:kern w:val="28"/>
          <w:sz w:val="20"/>
          <w:szCs w:val="20"/>
          <w:lang w:eastAsia="es-ES"/>
        </w:rPr>
      </w:pPr>
    </w:p>
    <w:p w14:paraId="6A7590F9"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La veracidad o autenticidad de la información y documentación contenida en la proposición técnica y económica, será de exclusiva responsabilidad del licitante de conformidad con el artículo 45 segundo párrafo de la LAASSP.</w:t>
      </w:r>
    </w:p>
    <w:p w14:paraId="3B478BFB"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lastRenderedPageBreak/>
        <w:t xml:space="preserve"> </w:t>
      </w:r>
    </w:p>
    <w:p w14:paraId="42D1E8C3" w14:textId="77777777" w:rsidR="0092173B" w:rsidRPr="005D22AE" w:rsidRDefault="0092173B" w:rsidP="0092173B">
      <w:pPr>
        <w:jc w:val="both"/>
        <w:rPr>
          <w:rFonts w:ascii="Noto Sans" w:eastAsia="Times New Roman" w:hAnsi="Noto Sans" w:cs="Noto Sans"/>
          <w:b/>
          <w:kern w:val="28"/>
          <w:sz w:val="20"/>
          <w:szCs w:val="20"/>
          <w:lang w:eastAsia="es-ES"/>
        </w:rPr>
      </w:pPr>
      <w:r w:rsidRPr="005D22AE">
        <w:rPr>
          <w:rFonts w:ascii="Noto Sans" w:eastAsia="Times New Roman" w:hAnsi="Noto Sans" w:cs="Noto Sans"/>
          <w:b/>
          <w:kern w:val="28"/>
          <w:sz w:val="20"/>
          <w:szCs w:val="20"/>
          <w:lang w:eastAsia="es-ES"/>
        </w:rPr>
        <w:t>EVALUACIÓN DE LAS PROPUESTAS TÉCNICAS:</w:t>
      </w:r>
    </w:p>
    <w:p w14:paraId="09DB4CBF" w14:textId="77777777" w:rsidR="0092173B" w:rsidRPr="005D22AE" w:rsidRDefault="0092173B" w:rsidP="0092173B">
      <w:pPr>
        <w:jc w:val="both"/>
        <w:rPr>
          <w:rFonts w:ascii="Noto Sans" w:eastAsia="Times New Roman" w:hAnsi="Noto Sans" w:cs="Noto Sans"/>
          <w:kern w:val="28"/>
          <w:sz w:val="20"/>
          <w:szCs w:val="20"/>
          <w:lang w:eastAsia="es-ES"/>
        </w:rPr>
      </w:pPr>
    </w:p>
    <w:p w14:paraId="3D1BEEF0"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 xml:space="preserve">Con fundamento en lo dispuesto por el artículo 47 segundo párrafo de la Ley de Adquisiciones, Arrendamientos y Servicios del Sector Público, se procederá a evaluar técnicamente a las dos propuestas cuyo precio resulte ser el más bajo.  No obstante, lo anterior, en el caso de que ambas propuestas sean descalificadas por encontrarse en alguno de los supuestos previstos en el numeral 3 de la presente convocatoria, se procederá a la evaluación de las propuestas restantes que previamente hayan sido aceptadas.  Para efectos de la evaluación, se tomarán en consideración los criterios siguientes: </w:t>
      </w:r>
    </w:p>
    <w:p w14:paraId="73AA45D3" w14:textId="77777777" w:rsidR="0092173B" w:rsidRPr="005D22AE" w:rsidRDefault="0092173B" w:rsidP="0092173B">
      <w:pPr>
        <w:jc w:val="both"/>
        <w:rPr>
          <w:rFonts w:ascii="Noto Sans" w:eastAsia="Times New Roman" w:hAnsi="Noto Sans" w:cs="Noto Sans"/>
          <w:kern w:val="28"/>
          <w:sz w:val="20"/>
          <w:szCs w:val="20"/>
          <w:lang w:eastAsia="es-ES"/>
        </w:rPr>
      </w:pPr>
    </w:p>
    <w:p w14:paraId="6645AB48"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A.</w:t>
      </w:r>
      <w:r w:rsidRPr="005D22AE">
        <w:rPr>
          <w:rFonts w:ascii="Noto Sans" w:eastAsia="Times New Roman" w:hAnsi="Noto Sans" w:cs="Noto Sans"/>
          <w:kern w:val="28"/>
          <w:sz w:val="20"/>
          <w:szCs w:val="20"/>
          <w:lang w:eastAsia="es-ES"/>
        </w:rPr>
        <w:tab/>
        <w:t>Se verificará que incluyan la información, los documentos y los requisitos solicitados en el numeral 9 de esta convocatoria.</w:t>
      </w:r>
    </w:p>
    <w:p w14:paraId="19C8DE46" w14:textId="77777777" w:rsidR="0092173B" w:rsidRPr="005D22AE" w:rsidRDefault="0092173B" w:rsidP="0092173B">
      <w:pPr>
        <w:jc w:val="both"/>
        <w:rPr>
          <w:rFonts w:ascii="Noto Sans" w:eastAsia="Times New Roman" w:hAnsi="Noto Sans" w:cs="Noto Sans"/>
          <w:kern w:val="28"/>
          <w:sz w:val="20"/>
          <w:szCs w:val="20"/>
          <w:lang w:eastAsia="es-ES"/>
        </w:rPr>
      </w:pPr>
    </w:p>
    <w:p w14:paraId="4A03D33C"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B.</w:t>
      </w:r>
      <w:r w:rsidRPr="005D22AE">
        <w:rPr>
          <w:rFonts w:ascii="Noto Sans" w:eastAsia="Times New Roman" w:hAnsi="Noto Sans" w:cs="Noto Sans"/>
          <w:kern w:val="28"/>
          <w:sz w:val="20"/>
          <w:szCs w:val="20"/>
          <w:lang w:eastAsia="es-ES"/>
        </w:rPr>
        <w:tab/>
        <w:t>Se verificará documentalmente que los bienes ofertados, cumplan con las especificaciones técnicas y requisitos solicitados en los numerales 7, 7.3, 9, 9.1 y 12 de esta convocatoria, así como con aquellos que resulten de la junta de aclaraciones.</w:t>
      </w:r>
    </w:p>
    <w:p w14:paraId="0FCB7A4B" w14:textId="77777777" w:rsidR="0092173B" w:rsidRPr="005D22AE" w:rsidRDefault="0092173B" w:rsidP="0092173B">
      <w:pPr>
        <w:jc w:val="both"/>
        <w:rPr>
          <w:rFonts w:ascii="Noto Sans" w:eastAsia="Times New Roman" w:hAnsi="Noto Sans" w:cs="Noto Sans"/>
          <w:kern w:val="28"/>
          <w:sz w:val="20"/>
          <w:szCs w:val="20"/>
          <w:lang w:eastAsia="es-ES"/>
        </w:rPr>
      </w:pPr>
    </w:p>
    <w:p w14:paraId="0C1F4C64"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C.</w:t>
      </w:r>
      <w:r w:rsidRPr="005D22AE">
        <w:rPr>
          <w:rFonts w:ascii="Noto Sans" w:eastAsia="Times New Roman" w:hAnsi="Noto Sans" w:cs="Noto Sans"/>
          <w:kern w:val="28"/>
          <w:sz w:val="20"/>
          <w:szCs w:val="20"/>
          <w:lang w:eastAsia="es-ES"/>
        </w:rPr>
        <w:tab/>
        <w:t xml:space="preserve">Se verificará la congruencia de los registros sanitarios, muestras, catálogos o instructivos que presenten los licitantes con lo ofertado en la propuesta técnica. </w:t>
      </w:r>
    </w:p>
    <w:p w14:paraId="27C25433" w14:textId="77777777" w:rsidR="0092173B" w:rsidRPr="005D22AE" w:rsidRDefault="0092173B" w:rsidP="0092173B">
      <w:pPr>
        <w:jc w:val="both"/>
        <w:rPr>
          <w:rFonts w:ascii="Noto Sans" w:eastAsia="Times New Roman" w:hAnsi="Noto Sans" w:cs="Noto Sans"/>
          <w:kern w:val="28"/>
          <w:sz w:val="20"/>
          <w:szCs w:val="20"/>
          <w:lang w:eastAsia="es-ES"/>
        </w:rPr>
      </w:pPr>
    </w:p>
    <w:p w14:paraId="6524E105"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D.</w:t>
      </w:r>
      <w:r w:rsidRPr="005D22AE">
        <w:rPr>
          <w:rFonts w:ascii="Noto Sans" w:eastAsia="Times New Roman" w:hAnsi="Noto Sans" w:cs="Noto Sans"/>
          <w:kern w:val="28"/>
          <w:sz w:val="20"/>
          <w:szCs w:val="20"/>
          <w:lang w:eastAsia="es-ES"/>
        </w:rPr>
        <w:tab/>
        <w:t>No se considerarán las proposiciones, cuando la cantidad de los bienes ofertados sea menor al 100% de lo solicitado por la convocante.</w:t>
      </w:r>
    </w:p>
    <w:p w14:paraId="52D97B5F" w14:textId="77777777" w:rsidR="0092173B" w:rsidRPr="005D22AE" w:rsidRDefault="0092173B" w:rsidP="0092173B">
      <w:pPr>
        <w:jc w:val="both"/>
        <w:rPr>
          <w:rFonts w:ascii="Noto Sans" w:eastAsia="Times New Roman" w:hAnsi="Noto Sans" w:cs="Noto Sans"/>
          <w:kern w:val="28"/>
          <w:sz w:val="20"/>
          <w:szCs w:val="20"/>
          <w:lang w:eastAsia="es-ES"/>
        </w:rPr>
      </w:pPr>
    </w:p>
    <w:p w14:paraId="7C5EBD54" w14:textId="77777777" w:rsidR="0092173B" w:rsidRPr="005D22AE" w:rsidRDefault="0092173B" w:rsidP="0092173B">
      <w:pPr>
        <w:jc w:val="both"/>
        <w:rPr>
          <w:rFonts w:ascii="Noto Sans" w:eastAsia="Times New Roman" w:hAnsi="Noto Sans" w:cs="Noto Sans"/>
          <w:kern w:val="28"/>
          <w:sz w:val="20"/>
          <w:szCs w:val="20"/>
          <w:lang w:eastAsia="es-ES"/>
        </w:rPr>
      </w:pPr>
      <w:r w:rsidRPr="005D22AE">
        <w:rPr>
          <w:rFonts w:ascii="Noto Sans" w:eastAsia="Times New Roman" w:hAnsi="Noto Sans" w:cs="Noto Sans"/>
          <w:kern w:val="28"/>
          <w:sz w:val="20"/>
          <w:szCs w:val="20"/>
          <w:lang w:eastAsia="es-ES"/>
        </w:rPr>
        <w:t>E.</w:t>
      </w:r>
      <w:r w:rsidRPr="005D22AE">
        <w:rPr>
          <w:rFonts w:ascii="Noto Sans" w:eastAsia="Times New Roman" w:hAnsi="Noto Sans" w:cs="Noto Sans"/>
          <w:kern w:val="28"/>
          <w:sz w:val="20"/>
          <w:szCs w:val="20"/>
          <w:lang w:eastAsia="es-ES"/>
        </w:rPr>
        <w:tab/>
        <w:t>En general, el cumplimiento de las propuestas conforme a los requisitos establecidos en la convocatoria.</w:t>
      </w:r>
    </w:p>
    <w:p w14:paraId="59924D34" w14:textId="77777777" w:rsidR="0092173B" w:rsidRPr="005D22AE" w:rsidRDefault="0092173B" w:rsidP="0092173B">
      <w:pPr>
        <w:jc w:val="both"/>
        <w:rPr>
          <w:rFonts w:ascii="Noto Sans" w:eastAsia="Calibri" w:hAnsi="Noto Sans" w:cs="Noto Sans"/>
          <w:sz w:val="20"/>
          <w:szCs w:val="20"/>
          <w:lang w:val="es-MX" w:eastAsia="es-ES"/>
        </w:rPr>
      </w:pPr>
    </w:p>
    <w:p w14:paraId="5CA8B04F" w14:textId="77777777" w:rsidR="0092173B" w:rsidRPr="005D22AE" w:rsidRDefault="0092173B" w:rsidP="0092173B">
      <w:pPr>
        <w:pStyle w:val="Prrafodelista"/>
        <w:numPr>
          <w:ilvl w:val="0"/>
          <w:numId w:val="1"/>
        </w:numPr>
        <w:spacing w:after="160" w:line="254" w:lineRule="auto"/>
        <w:jc w:val="both"/>
        <w:rPr>
          <w:rFonts w:ascii="Noto Sans" w:eastAsia="Calibri" w:hAnsi="Noto Sans" w:cs="Noto Sans"/>
          <w:b/>
          <w:sz w:val="20"/>
          <w:szCs w:val="20"/>
          <w:lang w:val="es-MX" w:eastAsia="es-ES"/>
        </w:rPr>
      </w:pPr>
      <w:r w:rsidRPr="005D22AE">
        <w:rPr>
          <w:rFonts w:ascii="Noto Sans" w:eastAsia="Calibri" w:hAnsi="Noto Sans" w:cs="Noto Sans"/>
          <w:b/>
          <w:sz w:val="20"/>
          <w:szCs w:val="20"/>
          <w:lang w:eastAsia="es-ES"/>
        </w:rPr>
        <w:t>LICENCIAS, PERMISOS, REGISTROS, CERTIFICADOS O AUTORIZACIONES APLICABLES.</w:t>
      </w:r>
    </w:p>
    <w:p w14:paraId="4E80C088" w14:textId="77777777" w:rsidR="0092173B" w:rsidRPr="005D22AE" w:rsidRDefault="0092173B" w:rsidP="0092173B">
      <w:pPr>
        <w:tabs>
          <w:tab w:val="left" w:pos="0"/>
          <w:tab w:val="left" w:pos="10065"/>
        </w:tabs>
        <w:overflowPunct w:val="0"/>
        <w:autoSpaceDE w:val="0"/>
        <w:autoSpaceDN w:val="0"/>
        <w:adjustRightInd w:val="0"/>
        <w:spacing w:before="100"/>
        <w:jc w:val="both"/>
        <w:textAlignment w:val="baseline"/>
        <w:rPr>
          <w:rFonts w:ascii="Noto Sans" w:eastAsia="Calibri" w:hAnsi="Noto Sans" w:cs="Noto Sans"/>
          <w:bCs/>
          <w:iCs/>
          <w:sz w:val="20"/>
          <w:szCs w:val="20"/>
          <w:lang w:val="es-MX" w:eastAsia="es-MX"/>
        </w:rPr>
      </w:pPr>
      <w:r w:rsidRPr="005D22AE">
        <w:rPr>
          <w:rFonts w:ascii="Noto Sans" w:eastAsia="Calibri" w:hAnsi="Noto Sans" w:cs="Noto Sans"/>
          <w:bCs/>
          <w:iCs/>
          <w:sz w:val="20"/>
          <w:szCs w:val="20"/>
          <w:lang w:val="es-MX" w:eastAsia="es-MX"/>
        </w:rPr>
        <w:t>Los participantes deberán acompañar a su propuesta técnica los documentos siguientes en copia simple:</w:t>
      </w:r>
    </w:p>
    <w:p w14:paraId="3C670895" w14:textId="77777777" w:rsidR="0092173B" w:rsidRPr="005D22AE" w:rsidRDefault="0092173B" w:rsidP="0092173B">
      <w:pPr>
        <w:pStyle w:val="Prrafodelista"/>
        <w:numPr>
          <w:ilvl w:val="0"/>
          <w:numId w:val="2"/>
        </w:numPr>
        <w:tabs>
          <w:tab w:val="left" w:pos="0"/>
          <w:tab w:val="left" w:pos="10065"/>
        </w:tabs>
        <w:overflowPunct w:val="0"/>
        <w:autoSpaceDE w:val="0"/>
        <w:autoSpaceDN w:val="0"/>
        <w:adjustRightInd w:val="0"/>
        <w:spacing w:after="200" w:line="276" w:lineRule="auto"/>
        <w:jc w:val="both"/>
        <w:textAlignment w:val="baseline"/>
        <w:rPr>
          <w:rFonts w:ascii="Noto Sans" w:eastAsia="Calibri" w:hAnsi="Noto Sans" w:cs="Noto Sans"/>
          <w:sz w:val="20"/>
          <w:szCs w:val="20"/>
          <w:lang w:val="es-MX" w:eastAsia="es-MX"/>
        </w:rPr>
      </w:pPr>
      <w:r w:rsidRPr="005D22AE">
        <w:rPr>
          <w:rFonts w:ascii="Noto Sans" w:eastAsia="Calibri" w:hAnsi="Noto Sans" w:cs="Noto Sans"/>
          <w:sz w:val="20"/>
          <w:szCs w:val="20"/>
          <w:lang w:eastAsia="es-MX"/>
        </w:rPr>
        <w:t xml:space="preserve">Aviso de Funcionamiento y las modificaciones realizadas en su caso a nombre del Licitante donde ampare el giro en el que desea participar, así como la actividad que desempeña en su establecimiento el cual deberá corresponder al domicilio donde funciona u opera.  </w:t>
      </w:r>
    </w:p>
    <w:p w14:paraId="57C11A8A" w14:textId="77777777" w:rsidR="0092173B" w:rsidRPr="005D22AE" w:rsidRDefault="0092173B" w:rsidP="0092173B">
      <w:pPr>
        <w:pStyle w:val="Prrafodelista"/>
        <w:numPr>
          <w:ilvl w:val="0"/>
          <w:numId w:val="2"/>
        </w:numPr>
        <w:spacing w:after="160" w:line="254" w:lineRule="auto"/>
        <w:jc w:val="both"/>
        <w:rPr>
          <w:rFonts w:ascii="Noto Sans" w:eastAsia="Calibri" w:hAnsi="Noto Sans" w:cs="Noto Sans"/>
          <w:bCs/>
          <w:sz w:val="20"/>
          <w:szCs w:val="20"/>
          <w:lang w:eastAsia="es-ES"/>
        </w:rPr>
      </w:pPr>
      <w:r w:rsidRPr="005D22AE">
        <w:rPr>
          <w:rFonts w:ascii="Noto Sans" w:eastAsia="Calibri" w:hAnsi="Noto Sans" w:cs="Noto Sans"/>
          <w:bCs/>
          <w:sz w:val="20"/>
          <w:szCs w:val="20"/>
          <w:lang w:eastAsia="es-ES"/>
        </w:rPr>
        <w:t>Carta bajo protesta de decir verdad  de que los productos que se ofrezcan cumplen con las normas aplicables:</w:t>
      </w:r>
    </w:p>
    <w:p w14:paraId="2623F4E1" w14:textId="77777777" w:rsidR="0092173B" w:rsidRPr="005D22AE" w:rsidRDefault="0092173B" w:rsidP="0092173B">
      <w:pPr>
        <w:pStyle w:val="Prrafodelista"/>
        <w:numPr>
          <w:ilvl w:val="0"/>
          <w:numId w:val="3"/>
        </w:numPr>
        <w:spacing w:after="160" w:line="254" w:lineRule="auto"/>
        <w:jc w:val="both"/>
        <w:rPr>
          <w:rFonts w:ascii="Noto Sans" w:eastAsia="Calibri" w:hAnsi="Noto Sans" w:cs="Noto Sans"/>
          <w:sz w:val="20"/>
          <w:szCs w:val="20"/>
          <w:lang w:eastAsia="es-ES"/>
        </w:rPr>
      </w:pPr>
      <w:r w:rsidRPr="005D22AE">
        <w:rPr>
          <w:rFonts w:ascii="Noto Sans" w:hAnsi="Noto Sans" w:cs="Noto Sans"/>
          <w:sz w:val="20"/>
          <w:szCs w:val="20"/>
          <w:shd w:val="clear" w:color="auto" w:fill="FFFFFF"/>
        </w:rPr>
        <w:t xml:space="preserve">NORMA Oficial Mexicana NOM-050-SCFI-2004, Información comercial-Etiquetado general de productos, publicada en el </w:t>
      </w:r>
      <w:r w:rsidRPr="005D22AE">
        <w:rPr>
          <w:rFonts w:ascii="Noto Sans" w:hAnsi="Noto Sans" w:cs="Noto Sans"/>
          <w:bCs/>
          <w:sz w:val="20"/>
          <w:szCs w:val="20"/>
          <w:shd w:val="clear" w:color="auto" w:fill="FFFFFF"/>
        </w:rPr>
        <w:t>D.O.F. el 01/06/2004.</w:t>
      </w:r>
    </w:p>
    <w:p w14:paraId="4C761FEC" w14:textId="77777777" w:rsidR="0092173B" w:rsidRPr="005D22AE" w:rsidRDefault="0092173B" w:rsidP="0092173B">
      <w:pPr>
        <w:pStyle w:val="Prrafodelista"/>
        <w:numPr>
          <w:ilvl w:val="0"/>
          <w:numId w:val="3"/>
        </w:numPr>
        <w:spacing w:after="160" w:line="254" w:lineRule="auto"/>
        <w:jc w:val="both"/>
        <w:rPr>
          <w:rFonts w:ascii="Noto Sans" w:eastAsia="Calibri" w:hAnsi="Noto Sans" w:cs="Noto Sans"/>
          <w:sz w:val="20"/>
          <w:szCs w:val="20"/>
          <w:lang w:eastAsia="es-ES"/>
        </w:rPr>
      </w:pPr>
      <w:r w:rsidRPr="005D22AE">
        <w:rPr>
          <w:rFonts w:ascii="Noto Sans" w:eastAsia="Times New Roman" w:hAnsi="Noto Sans" w:cs="Noto Sans"/>
          <w:bCs/>
          <w:kern w:val="36"/>
          <w:sz w:val="20"/>
          <w:szCs w:val="20"/>
          <w:lang w:eastAsia="es-MX"/>
        </w:rPr>
        <w:t xml:space="preserve">NORMA Oficial Mexicana NOM-225-SCFI-2019, Seguridad de artículos de uso doméstico-Utensilios con recubrimiento antiadherente para la cocción de alimentos-Especificaciones y métodos de prueba, publicada en el </w:t>
      </w:r>
      <w:r w:rsidRPr="005D22AE">
        <w:rPr>
          <w:rFonts w:ascii="Noto Sans" w:hAnsi="Noto Sans" w:cs="Noto Sans"/>
          <w:bCs/>
          <w:sz w:val="20"/>
          <w:szCs w:val="20"/>
          <w:shd w:val="clear" w:color="auto" w:fill="FFFFFF"/>
        </w:rPr>
        <w:t>D.O.F. el 11/03/2020.</w:t>
      </w:r>
    </w:p>
    <w:p w14:paraId="6AB385CF" w14:textId="77777777" w:rsidR="0092173B" w:rsidRPr="005D22AE" w:rsidRDefault="0092173B" w:rsidP="0092173B">
      <w:pPr>
        <w:pStyle w:val="Prrafodelista"/>
        <w:ind w:left="1473"/>
        <w:jc w:val="both"/>
        <w:rPr>
          <w:rFonts w:ascii="Noto Sans" w:eastAsia="Calibri" w:hAnsi="Noto Sans" w:cs="Noto Sans"/>
          <w:sz w:val="20"/>
          <w:szCs w:val="20"/>
          <w:lang w:eastAsia="es-ES"/>
        </w:rPr>
      </w:pPr>
    </w:p>
    <w:p w14:paraId="042157AE" w14:textId="77777777" w:rsidR="0092173B" w:rsidRPr="005D22AE" w:rsidRDefault="0092173B" w:rsidP="0092173B">
      <w:pPr>
        <w:pStyle w:val="Prrafodelista"/>
        <w:numPr>
          <w:ilvl w:val="0"/>
          <w:numId w:val="1"/>
        </w:numPr>
        <w:spacing w:after="160" w:line="254" w:lineRule="auto"/>
        <w:jc w:val="both"/>
        <w:rPr>
          <w:rFonts w:ascii="Noto Sans" w:eastAsia="Calibri" w:hAnsi="Noto Sans" w:cs="Noto Sans"/>
          <w:b/>
          <w:sz w:val="20"/>
          <w:szCs w:val="20"/>
          <w:lang w:eastAsia="es-ES"/>
        </w:rPr>
      </w:pPr>
      <w:r w:rsidRPr="005D22AE">
        <w:rPr>
          <w:rFonts w:ascii="Noto Sans" w:eastAsia="Calibri" w:hAnsi="Noto Sans" w:cs="Noto Sans"/>
          <w:b/>
          <w:sz w:val="20"/>
          <w:szCs w:val="20"/>
          <w:lang w:eastAsia="es-ES"/>
        </w:rPr>
        <w:t>DOCUMENTACIÓN TÉCNICA PARA COMPRAR ESPECIFICACIONES.</w:t>
      </w:r>
    </w:p>
    <w:p w14:paraId="0E2D5CE5" w14:textId="77777777" w:rsidR="0092173B" w:rsidRPr="005D22AE" w:rsidRDefault="0092173B" w:rsidP="0092173B">
      <w:pPr>
        <w:tabs>
          <w:tab w:val="left" w:pos="0"/>
          <w:tab w:val="left" w:pos="10065"/>
        </w:tabs>
        <w:overflowPunct w:val="0"/>
        <w:autoSpaceDE w:val="0"/>
        <w:autoSpaceDN w:val="0"/>
        <w:adjustRightInd w:val="0"/>
        <w:spacing w:before="100"/>
        <w:jc w:val="both"/>
        <w:textAlignment w:val="baseline"/>
        <w:rPr>
          <w:rFonts w:ascii="Noto Sans" w:eastAsia="Calibri" w:hAnsi="Noto Sans" w:cs="Noto Sans"/>
          <w:bCs/>
          <w:iCs/>
          <w:sz w:val="20"/>
          <w:szCs w:val="20"/>
          <w:lang w:val="es-MX" w:eastAsia="es-MX"/>
        </w:rPr>
      </w:pPr>
      <w:r w:rsidRPr="005D22AE">
        <w:rPr>
          <w:rFonts w:ascii="Noto Sans" w:eastAsia="Calibri" w:hAnsi="Noto Sans" w:cs="Noto Sans"/>
          <w:bCs/>
          <w:iCs/>
          <w:sz w:val="20"/>
          <w:szCs w:val="20"/>
          <w:lang w:val="es-MX" w:eastAsia="es-MX"/>
        </w:rPr>
        <w:t>Los participantes deberán acompañar a su propuesta técnica la siguiente documentación:</w:t>
      </w:r>
    </w:p>
    <w:p w14:paraId="7D5176E2" w14:textId="77777777" w:rsidR="0092173B" w:rsidRPr="005D22AE" w:rsidRDefault="0092173B" w:rsidP="0092173B">
      <w:pPr>
        <w:pStyle w:val="Prrafodelista"/>
        <w:numPr>
          <w:ilvl w:val="0"/>
          <w:numId w:val="4"/>
        </w:numPr>
        <w:spacing w:after="160" w:line="254" w:lineRule="auto"/>
        <w:jc w:val="both"/>
        <w:rPr>
          <w:rFonts w:ascii="Noto Sans" w:eastAsia="Calibri" w:hAnsi="Noto Sans" w:cs="Noto Sans"/>
          <w:sz w:val="20"/>
          <w:szCs w:val="20"/>
          <w:lang w:val="es-ES_tradnl" w:eastAsia="es-ES"/>
        </w:rPr>
      </w:pPr>
      <w:r w:rsidRPr="005D22AE">
        <w:rPr>
          <w:rFonts w:ascii="Noto Sans" w:hAnsi="Noto Sans" w:cs="Noto Sans"/>
          <w:sz w:val="20"/>
          <w:szCs w:val="20"/>
        </w:rPr>
        <w:lastRenderedPageBreak/>
        <w:t xml:space="preserve">Información técnica del producto con: Descripción general del equipo o utensilio de cocina, tamaño o referencia, características físicas y material del cual está elaborado, </w:t>
      </w:r>
      <w:r w:rsidRPr="005D22AE">
        <w:rPr>
          <w:rFonts w:ascii="Noto Sans" w:eastAsia="Calibri" w:hAnsi="Noto Sans" w:cs="Noto Sans"/>
          <w:sz w:val="20"/>
          <w:szCs w:val="20"/>
          <w:lang w:eastAsia="es-ES"/>
        </w:rPr>
        <w:t xml:space="preserve"> con la finalidad de comprobar sus especificaciones. </w:t>
      </w:r>
    </w:p>
    <w:p w14:paraId="394AB70F" w14:textId="77777777" w:rsidR="0092173B" w:rsidRPr="005D22AE" w:rsidRDefault="0092173B" w:rsidP="0092173B">
      <w:pPr>
        <w:pStyle w:val="Prrafodelista"/>
        <w:numPr>
          <w:ilvl w:val="0"/>
          <w:numId w:val="4"/>
        </w:numPr>
        <w:spacing w:after="160" w:line="254" w:lineRule="auto"/>
        <w:jc w:val="both"/>
        <w:rPr>
          <w:rFonts w:ascii="Noto Sans" w:eastAsia="Calibri" w:hAnsi="Noto Sans" w:cs="Noto Sans"/>
          <w:sz w:val="20"/>
          <w:szCs w:val="20"/>
          <w:lang w:val="es-ES_tradnl" w:eastAsia="es-ES"/>
        </w:rPr>
      </w:pPr>
      <w:r w:rsidRPr="005D22AE">
        <w:rPr>
          <w:rFonts w:ascii="Noto Sans" w:eastAsia="Calibri" w:hAnsi="Noto Sans" w:cs="Noto Sans"/>
          <w:sz w:val="20"/>
          <w:szCs w:val="20"/>
          <w:lang w:eastAsia="es-ES"/>
        </w:rPr>
        <w:t xml:space="preserve">Las proposiciones deberán  incluir las marcas que se oferten. </w:t>
      </w:r>
    </w:p>
    <w:p w14:paraId="025D9724" w14:textId="77777777" w:rsidR="0092173B" w:rsidRPr="005D22AE" w:rsidRDefault="0092173B" w:rsidP="0092173B">
      <w:pPr>
        <w:pStyle w:val="Prrafodelista"/>
        <w:jc w:val="both"/>
        <w:rPr>
          <w:rFonts w:ascii="Noto Sans" w:eastAsia="Calibri" w:hAnsi="Noto Sans" w:cs="Noto Sans"/>
          <w:sz w:val="20"/>
          <w:szCs w:val="20"/>
          <w:lang w:val="es-ES_tradnl" w:eastAsia="es-ES"/>
        </w:rPr>
      </w:pPr>
    </w:p>
    <w:p w14:paraId="5B7BE7A4" w14:textId="77777777" w:rsidR="0092173B" w:rsidRPr="005D22AE" w:rsidRDefault="0092173B" w:rsidP="0092173B">
      <w:pPr>
        <w:pStyle w:val="Prrafodelista"/>
        <w:numPr>
          <w:ilvl w:val="0"/>
          <w:numId w:val="1"/>
        </w:numPr>
        <w:spacing w:after="160" w:line="254" w:lineRule="auto"/>
        <w:jc w:val="both"/>
        <w:rPr>
          <w:rFonts w:ascii="Noto Sans" w:eastAsia="Calibri" w:hAnsi="Noto Sans" w:cs="Noto Sans"/>
          <w:b/>
          <w:sz w:val="20"/>
          <w:szCs w:val="20"/>
          <w:lang w:val="es-MX" w:eastAsia="es-ES"/>
        </w:rPr>
      </w:pPr>
      <w:r w:rsidRPr="005D22AE">
        <w:rPr>
          <w:rFonts w:ascii="Noto Sans" w:eastAsia="Calibri" w:hAnsi="Noto Sans" w:cs="Noto Sans"/>
          <w:b/>
          <w:sz w:val="20"/>
          <w:szCs w:val="20"/>
          <w:lang w:eastAsia="es-ES"/>
        </w:rPr>
        <w:t>VISITA A LAS INSTALACIONES DONDE SE SUMINISTRAN LOS BIENES.</w:t>
      </w:r>
    </w:p>
    <w:p w14:paraId="3B7254D3" w14:textId="77777777" w:rsidR="0092173B" w:rsidRPr="005D22AE" w:rsidRDefault="0092173B" w:rsidP="0092173B">
      <w:pPr>
        <w:jc w:val="both"/>
        <w:rPr>
          <w:rFonts w:ascii="Noto Sans" w:eastAsia="Calibri" w:hAnsi="Noto Sans" w:cs="Noto Sans"/>
          <w:sz w:val="20"/>
          <w:szCs w:val="20"/>
          <w:lang w:eastAsia="es-ES"/>
        </w:rPr>
      </w:pPr>
      <w:r w:rsidRPr="005D22AE">
        <w:rPr>
          <w:rFonts w:ascii="Noto Sans" w:eastAsia="Calibri" w:hAnsi="Noto Sans" w:cs="Noto Sans"/>
          <w:sz w:val="20"/>
          <w:szCs w:val="20"/>
          <w:lang w:eastAsia="es-ES"/>
        </w:rPr>
        <w:t>No aplica.</w:t>
      </w:r>
    </w:p>
    <w:p w14:paraId="2C2CEFC1" w14:textId="77777777" w:rsidR="0092173B" w:rsidRPr="005D22AE" w:rsidRDefault="0092173B" w:rsidP="0092173B">
      <w:pPr>
        <w:jc w:val="both"/>
        <w:rPr>
          <w:rFonts w:ascii="Noto Sans" w:eastAsia="Calibri" w:hAnsi="Noto Sans" w:cs="Noto Sans"/>
          <w:b/>
          <w:sz w:val="20"/>
          <w:szCs w:val="20"/>
          <w:lang w:eastAsia="es-ES"/>
        </w:rPr>
      </w:pPr>
    </w:p>
    <w:p w14:paraId="52F6956E" w14:textId="77777777" w:rsidR="0092173B" w:rsidRPr="005D22AE" w:rsidRDefault="0092173B" w:rsidP="0092173B">
      <w:pPr>
        <w:pStyle w:val="Prrafodelista"/>
        <w:numPr>
          <w:ilvl w:val="0"/>
          <w:numId w:val="1"/>
        </w:numPr>
        <w:spacing w:after="160" w:line="254" w:lineRule="auto"/>
        <w:jc w:val="both"/>
        <w:rPr>
          <w:rFonts w:ascii="Noto Sans" w:eastAsia="Calibri" w:hAnsi="Noto Sans" w:cs="Noto Sans"/>
          <w:b/>
          <w:sz w:val="20"/>
          <w:szCs w:val="20"/>
          <w:lang w:val="es-ES_tradnl" w:eastAsia="es-ES"/>
        </w:rPr>
      </w:pPr>
      <w:r w:rsidRPr="005D22AE">
        <w:rPr>
          <w:rFonts w:ascii="Noto Sans" w:eastAsia="Calibri" w:hAnsi="Noto Sans" w:cs="Noto Sans"/>
          <w:b/>
          <w:sz w:val="20"/>
          <w:szCs w:val="20"/>
          <w:lang w:eastAsia="es-ES"/>
        </w:rPr>
        <w:t>VISITA A LAS INSTALACIONES DE LOS LICITANTES.</w:t>
      </w:r>
    </w:p>
    <w:p w14:paraId="58CF8064" w14:textId="77777777" w:rsidR="0092173B" w:rsidRPr="005D22AE" w:rsidRDefault="0092173B" w:rsidP="0092173B">
      <w:pPr>
        <w:jc w:val="both"/>
        <w:rPr>
          <w:rFonts w:ascii="Noto Sans" w:eastAsia="Calibri" w:hAnsi="Noto Sans" w:cs="Noto Sans"/>
          <w:sz w:val="20"/>
          <w:szCs w:val="20"/>
          <w:lang w:val="es-ES_tradnl" w:eastAsia="es-ES"/>
        </w:rPr>
      </w:pPr>
      <w:r w:rsidRPr="005D22AE">
        <w:rPr>
          <w:rFonts w:ascii="Noto Sans" w:eastAsia="Calibri" w:hAnsi="Noto Sans" w:cs="Noto Sans"/>
          <w:sz w:val="20"/>
          <w:szCs w:val="20"/>
          <w:lang w:eastAsia="es-ES"/>
        </w:rPr>
        <w:t>No aplica.</w:t>
      </w:r>
    </w:p>
    <w:p w14:paraId="2B7D5798" w14:textId="77777777" w:rsidR="0092173B" w:rsidRPr="005D22AE" w:rsidRDefault="0092173B" w:rsidP="0092173B">
      <w:pPr>
        <w:pStyle w:val="Prrafodelista"/>
        <w:tabs>
          <w:tab w:val="left" w:pos="0"/>
        </w:tabs>
        <w:jc w:val="both"/>
        <w:rPr>
          <w:rFonts w:ascii="Noto Sans" w:eastAsia="Times New Roman" w:hAnsi="Noto Sans" w:cs="Noto Sans"/>
          <w:b/>
          <w:color w:val="000000"/>
          <w:sz w:val="20"/>
          <w:szCs w:val="20"/>
          <w:lang w:val="es-MX" w:eastAsia="es-MX"/>
        </w:rPr>
      </w:pPr>
    </w:p>
    <w:p w14:paraId="02961ED7" w14:textId="77777777" w:rsidR="0092173B" w:rsidRPr="005D22AE" w:rsidRDefault="0092173B" w:rsidP="0092173B">
      <w:pPr>
        <w:pStyle w:val="Prrafodelista"/>
        <w:numPr>
          <w:ilvl w:val="0"/>
          <w:numId w:val="1"/>
        </w:numPr>
        <w:tabs>
          <w:tab w:val="left" w:pos="0"/>
        </w:tabs>
        <w:spacing w:after="160" w:line="254" w:lineRule="auto"/>
        <w:jc w:val="both"/>
        <w:rPr>
          <w:rFonts w:ascii="Noto Sans" w:eastAsia="Times New Roman" w:hAnsi="Noto Sans" w:cs="Noto Sans"/>
          <w:b/>
          <w:color w:val="000000"/>
          <w:sz w:val="20"/>
          <w:szCs w:val="20"/>
          <w:lang w:eastAsia="es-MX"/>
        </w:rPr>
      </w:pPr>
      <w:r w:rsidRPr="005D22AE">
        <w:rPr>
          <w:rFonts w:ascii="Noto Sans" w:eastAsia="Times New Roman" w:hAnsi="Noto Sans" w:cs="Noto Sans"/>
          <w:b/>
          <w:color w:val="000000"/>
          <w:sz w:val="20"/>
          <w:szCs w:val="20"/>
          <w:lang w:eastAsia="es-MX"/>
        </w:rPr>
        <w:t>PENAS CONVENCIONALES POR ATRASO EN LA ENTREGA DE LOS BIENES ADJUDICADOS.</w:t>
      </w:r>
    </w:p>
    <w:p w14:paraId="5429CF8F" w14:textId="77777777" w:rsidR="0092173B" w:rsidRPr="005D22AE" w:rsidRDefault="0092173B" w:rsidP="0092173B">
      <w:pPr>
        <w:pStyle w:val="Prrafodelista"/>
        <w:tabs>
          <w:tab w:val="left" w:pos="0"/>
        </w:tabs>
        <w:ind w:left="0"/>
        <w:jc w:val="both"/>
        <w:rPr>
          <w:rFonts w:ascii="Noto Sans" w:eastAsiaTheme="minorHAnsi" w:hAnsi="Noto Sans" w:cs="Noto Sans"/>
          <w:sz w:val="20"/>
          <w:szCs w:val="20"/>
        </w:rPr>
      </w:pPr>
    </w:p>
    <w:p w14:paraId="630C764B"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El Instituto aplicará penalizaciones del 1% por cada día de atraso en la entrega de los bienes con un máximo de 4 días,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75 de la Ley de Adquisiciones, Arrendamientos y Servicios del Sector Público.</w:t>
      </w:r>
    </w:p>
    <w:p w14:paraId="702307D1"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0AEFBE56" w14:textId="77777777" w:rsidR="0092173B" w:rsidRPr="005D22AE" w:rsidRDefault="0092173B" w:rsidP="0092173B">
      <w:pPr>
        <w:pStyle w:val="Prrafodelista"/>
        <w:numPr>
          <w:ilvl w:val="0"/>
          <w:numId w:val="5"/>
        </w:numPr>
        <w:tabs>
          <w:tab w:val="left" w:pos="0"/>
        </w:tabs>
        <w:spacing w:after="160" w:line="254" w:lineRule="auto"/>
        <w:jc w:val="both"/>
        <w:rPr>
          <w:rFonts w:ascii="Noto Sans" w:hAnsi="Noto Sans" w:cs="Noto Sans"/>
          <w:sz w:val="20"/>
          <w:szCs w:val="20"/>
        </w:rPr>
      </w:pPr>
      <w:r w:rsidRPr="005D22AE">
        <w:rPr>
          <w:rFonts w:ascii="Noto Sans" w:hAnsi="Noto Sans" w:cs="Noto Sans"/>
          <w:sz w:val="20"/>
          <w:szCs w:val="20"/>
        </w:rPr>
        <w:t>Cuando el licitante adjudicado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2A65A1D1" w14:textId="77777777" w:rsidR="0092173B" w:rsidRPr="005D22AE" w:rsidRDefault="0092173B" w:rsidP="0092173B">
      <w:pPr>
        <w:pStyle w:val="Prrafodelista"/>
        <w:tabs>
          <w:tab w:val="left" w:pos="0"/>
        </w:tabs>
        <w:jc w:val="both"/>
        <w:rPr>
          <w:rFonts w:ascii="Noto Sans" w:hAnsi="Noto Sans" w:cs="Noto Sans"/>
          <w:sz w:val="20"/>
          <w:szCs w:val="20"/>
        </w:rPr>
      </w:pPr>
    </w:p>
    <w:p w14:paraId="17FD87B9" w14:textId="77777777" w:rsidR="0092173B" w:rsidRPr="005D22AE" w:rsidRDefault="0092173B" w:rsidP="0092173B">
      <w:pPr>
        <w:pStyle w:val="Prrafodelista"/>
        <w:numPr>
          <w:ilvl w:val="0"/>
          <w:numId w:val="5"/>
        </w:numPr>
        <w:tabs>
          <w:tab w:val="left" w:pos="0"/>
        </w:tabs>
        <w:spacing w:after="160" w:line="254" w:lineRule="auto"/>
        <w:jc w:val="both"/>
        <w:rPr>
          <w:rFonts w:ascii="Noto Sans" w:hAnsi="Noto Sans" w:cs="Noto Sans"/>
          <w:sz w:val="20"/>
          <w:szCs w:val="20"/>
        </w:rPr>
      </w:pPr>
      <w:r w:rsidRPr="005D22AE">
        <w:rPr>
          <w:rFonts w:ascii="Noto Sans" w:hAnsi="Noto Sans" w:cs="Noto Sans"/>
          <w:sz w:val="20"/>
          <w:szCs w:val="20"/>
        </w:rPr>
        <w:t>Cuando el licitante adjudicado no reponga dentro del plazo señalado los bienes que El Instituto haya solicitado para su canje.</w:t>
      </w:r>
    </w:p>
    <w:p w14:paraId="744C91E8"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388658FC"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El monto máximo de la pena convencional no podrá ser superior a la parte proporcional que corresponda al porcentaje de la garantía de cumplimiento del contrato para cada partida o concepto.</w:t>
      </w:r>
    </w:p>
    <w:p w14:paraId="15107E03"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34BEF0FD"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Por ningún concepto la aplicación de penas convencionales podrá exceder el importe de la garantía de cumplimiento del contrato.</w:t>
      </w:r>
    </w:p>
    <w:p w14:paraId="1C2FE0B8"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73CCBF45" w14:textId="77777777" w:rsidR="0092173B" w:rsidRPr="005D22AE" w:rsidRDefault="0092173B" w:rsidP="0092173B">
      <w:pPr>
        <w:pStyle w:val="Prrafodelista"/>
        <w:numPr>
          <w:ilvl w:val="0"/>
          <w:numId w:val="1"/>
        </w:numPr>
        <w:spacing w:after="160" w:line="254" w:lineRule="auto"/>
        <w:jc w:val="both"/>
        <w:rPr>
          <w:rFonts w:ascii="Noto Sans" w:hAnsi="Noto Sans" w:cs="Noto Sans"/>
          <w:b/>
          <w:sz w:val="20"/>
          <w:szCs w:val="20"/>
        </w:rPr>
      </w:pPr>
      <w:r w:rsidRPr="005D22AE">
        <w:rPr>
          <w:rFonts w:ascii="Noto Sans" w:eastAsia="Times New Roman" w:hAnsi="Noto Sans" w:cs="Noto Sans"/>
          <w:b/>
          <w:color w:val="000000"/>
          <w:sz w:val="20"/>
          <w:szCs w:val="20"/>
          <w:lang w:eastAsia="es-MX"/>
        </w:rPr>
        <w:t>CANJE O DEVOLUCIÓN DE LOS BIENES.</w:t>
      </w:r>
    </w:p>
    <w:p w14:paraId="10D29E66" w14:textId="77777777" w:rsidR="0092173B" w:rsidRPr="005D22AE" w:rsidRDefault="0092173B" w:rsidP="0092173B">
      <w:pPr>
        <w:pStyle w:val="Prrafodelista"/>
        <w:spacing w:line="276" w:lineRule="auto"/>
        <w:jc w:val="both"/>
        <w:rPr>
          <w:rFonts w:ascii="Noto Sans" w:eastAsia="Times New Roman" w:hAnsi="Noto Sans" w:cs="Noto Sans"/>
          <w:color w:val="000000"/>
          <w:sz w:val="20"/>
          <w:szCs w:val="20"/>
          <w:lang w:eastAsia="es-MX"/>
        </w:rPr>
      </w:pPr>
    </w:p>
    <w:p w14:paraId="7B136AEB" w14:textId="77777777" w:rsidR="0092173B" w:rsidRPr="005D22AE" w:rsidRDefault="0092173B" w:rsidP="0092173B">
      <w:pPr>
        <w:jc w:val="both"/>
        <w:rPr>
          <w:rFonts w:ascii="Noto Sans" w:hAnsi="Noto Sans" w:cs="Noto Sans"/>
          <w:sz w:val="20"/>
          <w:szCs w:val="20"/>
        </w:rPr>
      </w:pPr>
      <w:r w:rsidRPr="005D22AE">
        <w:rPr>
          <w:rFonts w:ascii="Noto Sans" w:hAnsi="Noto Sans" w:cs="Noto Sans"/>
          <w:sz w:val="20"/>
          <w:szCs w:val="20"/>
        </w:rPr>
        <w:t>El Instituto por conducto del Departamento de Abastecimiento y Equipamiento, en sus Oficinas de Control del Abasto de la UMAE Hospital de Especialidades del C.M.N.O.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p>
    <w:p w14:paraId="32F9BE98" w14:textId="77777777" w:rsidR="0092173B" w:rsidRPr="005D22AE" w:rsidRDefault="0092173B" w:rsidP="0092173B">
      <w:pPr>
        <w:jc w:val="both"/>
        <w:rPr>
          <w:rFonts w:ascii="Noto Sans" w:hAnsi="Noto Sans" w:cs="Noto Sans"/>
          <w:sz w:val="20"/>
          <w:szCs w:val="20"/>
        </w:rPr>
      </w:pPr>
    </w:p>
    <w:p w14:paraId="3211A58F" w14:textId="77777777" w:rsidR="0092173B" w:rsidRPr="005D22AE" w:rsidRDefault="0092173B" w:rsidP="0092173B">
      <w:pPr>
        <w:jc w:val="both"/>
        <w:rPr>
          <w:rFonts w:ascii="Noto Sans" w:hAnsi="Noto Sans" w:cs="Noto Sans"/>
          <w:sz w:val="20"/>
          <w:szCs w:val="20"/>
        </w:rPr>
      </w:pPr>
      <w:r w:rsidRPr="005D22AE">
        <w:rPr>
          <w:rFonts w:ascii="Noto Sans" w:hAnsi="Noto Sans" w:cs="Noto Sans"/>
          <w:sz w:val="20"/>
          <w:szCs w:val="20"/>
        </w:rPr>
        <w:lastRenderedPageBreak/>
        <w:t>El Proveedor deberá reponer los bienes sujetos a canje o devolución, en un plazo que no excederá de 10 días hábiles, contados a partir de la fecha de su notificación.</w:t>
      </w:r>
    </w:p>
    <w:p w14:paraId="6A093EB5" w14:textId="77777777" w:rsidR="0092173B" w:rsidRPr="005D22AE" w:rsidRDefault="0092173B" w:rsidP="0092173B">
      <w:pPr>
        <w:jc w:val="both"/>
        <w:rPr>
          <w:rFonts w:ascii="Noto Sans" w:hAnsi="Noto Sans" w:cs="Noto Sans"/>
          <w:sz w:val="20"/>
          <w:szCs w:val="20"/>
        </w:rPr>
      </w:pPr>
    </w:p>
    <w:p w14:paraId="7FB784D6" w14:textId="77777777" w:rsidR="0092173B" w:rsidRPr="005D22AE" w:rsidRDefault="0092173B" w:rsidP="0092173B">
      <w:pPr>
        <w:jc w:val="both"/>
        <w:rPr>
          <w:rFonts w:ascii="Noto Sans" w:hAnsi="Noto Sans" w:cs="Noto Sans"/>
          <w:sz w:val="20"/>
          <w:szCs w:val="20"/>
        </w:rPr>
      </w:pPr>
      <w:r w:rsidRPr="005D22AE">
        <w:rPr>
          <w:rFonts w:ascii="Noto Sans" w:hAnsi="Noto Sans" w:cs="Noto Sans"/>
          <w:sz w:val="20"/>
          <w:szCs w:val="20"/>
        </w:rPr>
        <w:t>Todos los gastos que se generen con motivo del canje o devolución, correrán por cuenta del proveedor previa notificación del Instituto.</w:t>
      </w:r>
    </w:p>
    <w:p w14:paraId="3E6FF2D7" w14:textId="77777777" w:rsidR="0092173B" w:rsidRPr="005D22AE" w:rsidRDefault="0092173B" w:rsidP="0092173B">
      <w:pPr>
        <w:jc w:val="both"/>
        <w:rPr>
          <w:rFonts w:ascii="Noto Sans" w:hAnsi="Noto Sans" w:cs="Noto Sans"/>
          <w:sz w:val="20"/>
          <w:szCs w:val="20"/>
        </w:rPr>
      </w:pPr>
    </w:p>
    <w:p w14:paraId="67C3E790" w14:textId="77777777" w:rsidR="0092173B" w:rsidRPr="005D22AE" w:rsidRDefault="0092173B" w:rsidP="0092173B">
      <w:pPr>
        <w:jc w:val="both"/>
        <w:rPr>
          <w:rFonts w:ascii="Noto Sans" w:hAnsi="Noto Sans" w:cs="Noto Sans"/>
          <w:sz w:val="20"/>
          <w:szCs w:val="20"/>
        </w:rPr>
      </w:pPr>
      <w:r w:rsidRPr="005D22AE">
        <w:rPr>
          <w:rFonts w:ascii="Noto Sans" w:hAnsi="Noto Sans" w:cs="Noto Sans"/>
          <w:sz w:val="20"/>
          <w:szCs w:val="20"/>
        </w:rPr>
        <w:t>El Proveedor se obliga a responder por su cuenta y riesgo de los daños y/o perjuicios que, por inobservancia o negligencia de su parte, llegue a causar al Instituto y/o a terceros.</w:t>
      </w:r>
    </w:p>
    <w:p w14:paraId="619767C3" w14:textId="77777777" w:rsidR="0092173B" w:rsidRPr="005D22AE" w:rsidRDefault="0092173B" w:rsidP="0092173B">
      <w:pPr>
        <w:jc w:val="both"/>
        <w:rPr>
          <w:rFonts w:ascii="Noto Sans" w:eastAsia="Calibri" w:hAnsi="Noto Sans" w:cs="Noto Sans"/>
          <w:sz w:val="20"/>
          <w:szCs w:val="20"/>
          <w:lang w:eastAsia="es-ES"/>
        </w:rPr>
      </w:pPr>
    </w:p>
    <w:p w14:paraId="087485A0" w14:textId="77777777" w:rsidR="0092173B" w:rsidRPr="005D22AE" w:rsidRDefault="0092173B" w:rsidP="0092173B">
      <w:pPr>
        <w:pStyle w:val="Prrafodelista"/>
        <w:numPr>
          <w:ilvl w:val="0"/>
          <w:numId w:val="1"/>
        </w:numPr>
        <w:tabs>
          <w:tab w:val="left" w:pos="0"/>
        </w:tabs>
        <w:spacing w:after="160" w:line="254" w:lineRule="auto"/>
        <w:jc w:val="both"/>
        <w:rPr>
          <w:rFonts w:ascii="Noto Sans" w:eastAsia="Times New Roman" w:hAnsi="Noto Sans" w:cs="Noto Sans"/>
          <w:b/>
          <w:color w:val="000000"/>
          <w:sz w:val="20"/>
          <w:szCs w:val="20"/>
          <w:lang w:eastAsia="es-MX"/>
        </w:rPr>
      </w:pPr>
      <w:r w:rsidRPr="005D22AE">
        <w:rPr>
          <w:rFonts w:ascii="Noto Sans" w:eastAsia="Times New Roman" w:hAnsi="Noto Sans" w:cs="Noto Sans"/>
          <w:b/>
          <w:color w:val="000000"/>
          <w:sz w:val="20"/>
          <w:szCs w:val="20"/>
          <w:lang w:eastAsia="es-MX"/>
        </w:rPr>
        <w:t>GARANTÍA DE CUMPLIMIENTO DEL CONTRATO Y CARTA GARANTÍA DE LOS BIENES.</w:t>
      </w:r>
    </w:p>
    <w:p w14:paraId="7937002C" w14:textId="77777777" w:rsidR="0092173B" w:rsidRPr="005D22AE" w:rsidRDefault="0092173B" w:rsidP="0092173B">
      <w:pPr>
        <w:pStyle w:val="Prrafodelista"/>
        <w:tabs>
          <w:tab w:val="left" w:pos="0"/>
        </w:tabs>
        <w:ind w:left="0"/>
        <w:jc w:val="both"/>
        <w:rPr>
          <w:rFonts w:ascii="Noto Sans" w:eastAsia="Times New Roman" w:hAnsi="Noto Sans" w:cs="Noto Sans"/>
          <w:b/>
          <w:color w:val="000000"/>
          <w:sz w:val="20"/>
          <w:szCs w:val="20"/>
          <w:lang w:eastAsia="es-MX"/>
        </w:rPr>
      </w:pPr>
    </w:p>
    <w:p w14:paraId="4E0E88E7" w14:textId="77777777" w:rsidR="0092173B" w:rsidRPr="005D22AE" w:rsidRDefault="0092173B" w:rsidP="0092173B">
      <w:pPr>
        <w:pStyle w:val="Prrafodelista"/>
        <w:tabs>
          <w:tab w:val="left" w:pos="0"/>
        </w:tabs>
        <w:ind w:left="0"/>
        <w:jc w:val="both"/>
        <w:rPr>
          <w:rFonts w:ascii="Noto Sans" w:eastAsia="Times New Roman" w:hAnsi="Noto Sans" w:cs="Noto Sans"/>
          <w:b/>
          <w:color w:val="000000"/>
          <w:sz w:val="20"/>
          <w:szCs w:val="20"/>
          <w:lang w:eastAsia="es-MX"/>
        </w:rPr>
      </w:pPr>
      <w:r w:rsidRPr="005D22AE">
        <w:rPr>
          <w:rFonts w:ascii="Noto Sans" w:eastAsia="Times New Roman" w:hAnsi="Noto Sans" w:cs="Noto Sans"/>
          <w:b/>
          <w:color w:val="000000"/>
          <w:sz w:val="20"/>
          <w:szCs w:val="20"/>
          <w:lang w:eastAsia="es-MX"/>
        </w:rPr>
        <w:t>Garantía de cumplimiento del contrato:</w:t>
      </w:r>
    </w:p>
    <w:p w14:paraId="1EA6D592" w14:textId="77777777" w:rsidR="0092173B" w:rsidRPr="005D22AE" w:rsidRDefault="0092173B" w:rsidP="0092173B">
      <w:pPr>
        <w:pStyle w:val="Prrafodelista"/>
        <w:tabs>
          <w:tab w:val="left" w:pos="0"/>
        </w:tabs>
        <w:ind w:left="0"/>
        <w:jc w:val="both"/>
        <w:rPr>
          <w:rFonts w:ascii="Noto Sans" w:eastAsiaTheme="minorHAnsi" w:hAnsi="Noto Sans" w:cs="Noto Sans"/>
          <w:sz w:val="20"/>
          <w:szCs w:val="20"/>
        </w:rPr>
      </w:pPr>
    </w:p>
    <w:p w14:paraId="015BF8BE"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El proveedor, se obliga a otorgar de conformidad con el articulo 69 último párrafo de la Ley de Adquisiciones, Arrendamientos y Servicios del Sector Público, dentro de un plazo de diez días naturales contados a partir de la firma del contrato, una garantía de cumplimiento de todas y cada una de las obligaciones a su cargo derivadas del mismo, mediante fianza expedida por compañía autorizada en los términos de la Ley de Instituciones de Seguros y Fianzas, y a favor del Instituto Mexicano del Seguro Social, por el monto máximo del 10% (diez por ciento) sobre el importe máximo del contrato sin considerar el IVA.</w:t>
      </w:r>
    </w:p>
    <w:p w14:paraId="40623510"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129A8ED1"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El proveedor queda obligado a entregar a El Instituto la póliza de fianza apegándose al formato que se integra al contrato como Anexo 3 (Tres) previsto en las bases del presente procedimiento de contratación, al Departamento de Abastecimiento de la Unidad Médica de Alta Especialidad Hospital de Especialidades CMNO.</w:t>
      </w:r>
    </w:p>
    <w:p w14:paraId="4E65AB5C"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2D6BD48B"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Dicha póliza de garantía de cumplimiento del contrato será devuelta a el proveedor a través de la empresa que para tal efecto el mismo designe,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contrato.</w:t>
      </w:r>
    </w:p>
    <w:p w14:paraId="1CC5B675"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67F577CD"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En este caso, la verificación del cumplimiento del contrato por parte de El Instituto deberá hacerse a más tardar el tercer día hábil posterior a aquel en que el proveedor de aviso de la conclusión de la entrega de bienes objeto del mismo.</w:t>
      </w:r>
    </w:p>
    <w:p w14:paraId="4F01D062" w14:textId="77777777" w:rsidR="0092173B" w:rsidRPr="005D22AE" w:rsidRDefault="0092173B" w:rsidP="0092173B">
      <w:pPr>
        <w:pStyle w:val="Prrafodelista"/>
        <w:tabs>
          <w:tab w:val="left" w:pos="0"/>
        </w:tabs>
        <w:ind w:left="0"/>
        <w:jc w:val="both"/>
        <w:rPr>
          <w:rFonts w:ascii="Noto Sans" w:hAnsi="Noto Sans" w:cs="Noto Sans"/>
          <w:b/>
          <w:sz w:val="20"/>
          <w:szCs w:val="20"/>
        </w:rPr>
      </w:pPr>
    </w:p>
    <w:p w14:paraId="13A4226F" w14:textId="77777777" w:rsidR="0092173B" w:rsidRPr="005D22AE" w:rsidRDefault="0092173B" w:rsidP="0092173B">
      <w:pPr>
        <w:pStyle w:val="Prrafodelista"/>
        <w:tabs>
          <w:tab w:val="left" w:pos="0"/>
        </w:tabs>
        <w:ind w:left="0"/>
        <w:jc w:val="both"/>
        <w:rPr>
          <w:rFonts w:ascii="Noto Sans" w:hAnsi="Noto Sans" w:cs="Noto Sans"/>
          <w:b/>
          <w:sz w:val="20"/>
          <w:szCs w:val="20"/>
        </w:rPr>
      </w:pPr>
      <w:r w:rsidRPr="005D22AE">
        <w:rPr>
          <w:rFonts w:ascii="Noto Sans" w:hAnsi="Noto Sans" w:cs="Noto Sans"/>
          <w:b/>
          <w:sz w:val="20"/>
          <w:szCs w:val="20"/>
        </w:rPr>
        <w:t>Carta garantía de los bienes:</w:t>
      </w:r>
    </w:p>
    <w:p w14:paraId="1AC9C635"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49C5967A"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El proveedor deberá entregar junto con los bienes una garantía de fabricación con cobertura amplia por 12 (doce) meses, contra vicios ocultos, defectos de fabricación o cualquier daño que presenten, la cual deberá entregar a El Instituto por escrito en papel membretado, debidamente firmada por el representante legal de éste y a entera satisfacción de El Instituto.</w:t>
      </w:r>
    </w:p>
    <w:p w14:paraId="3C2A9B24"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498E7F3B" w14:textId="77777777" w:rsidR="0092173B" w:rsidRPr="005D22AE" w:rsidRDefault="0092173B" w:rsidP="0092173B">
      <w:pPr>
        <w:jc w:val="both"/>
        <w:rPr>
          <w:rFonts w:ascii="Noto Sans" w:eastAsia="Calibri" w:hAnsi="Noto Sans" w:cs="Noto Sans"/>
          <w:b/>
          <w:sz w:val="20"/>
          <w:szCs w:val="20"/>
          <w:lang w:val="es-MX" w:eastAsia="es-ES"/>
        </w:rPr>
      </w:pPr>
      <w:r w:rsidRPr="005D22AE">
        <w:rPr>
          <w:rFonts w:ascii="Noto Sans" w:eastAsia="Calibri" w:hAnsi="Noto Sans" w:cs="Noto Sans"/>
          <w:b/>
          <w:sz w:val="20"/>
          <w:szCs w:val="20"/>
          <w:lang w:val="es-MX" w:eastAsia="es-ES"/>
        </w:rPr>
        <w:lastRenderedPageBreak/>
        <w:t>Evaluación de las propuestas técnicas:</w:t>
      </w:r>
    </w:p>
    <w:p w14:paraId="7AB3DB63" w14:textId="77777777" w:rsidR="0092173B" w:rsidRPr="005D22AE" w:rsidRDefault="0092173B" w:rsidP="0092173B">
      <w:pPr>
        <w:jc w:val="both"/>
        <w:rPr>
          <w:rFonts w:ascii="Noto Sans" w:eastAsia="Calibri" w:hAnsi="Noto Sans" w:cs="Noto Sans"/>
          <w:sz w:val="20"/>
          <w:szCs w:val="20"/>
          <w:lang w:val="es-MX" w:eastAsia="es-ES"/>
        </w:rPr>
      </w:pPr>
    </w:p>
    <w:p w14:paraId="60F466D0" w14:textId="77777777" w:rsidR="0092173B" w:rsidRPr="005D22AE" w:rsidRDefault="0092173B" w:rsidP="0092173B">
      <w:pPr>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 xml:space="preserve">Con fundamento en lo dispuesto por el artículo 47 Segundo </w:t>
      </w:r>
      <w:proofErr w:type="spellStart"/>
      <w:r w:rsidRPr="005D22AE">
        <w:rPr>
          <w:rFonts w:ascii="Noto Sans" w:eastAsia="Calibri" w:hAnsi="Noto Sans" w:cs="Noto Sans"/>
          <w:sz w:val="20"/>
          <w:szCs w:val="20"/>
          <w:lang w:val="es-MX" w:eastAsia="es-ES"/>
        </w:rPr>
        <w:t>Parrafo</w:t>
      </w:r>
      <w:proofErr w:type="spellEnd"/>
      <w:r w:rsidRPr="005D22AE">
        <w:rPr>
          <w:rFonts w:ascii="Noto Sans" w:eastAsia="Calibri" w:hAnsi="Noto Sans" w:cs="Noto Sans"/>
          <w:sz w:val="20"/>
          <w:szCs w:val="20"/>
          <w:lang w:val="es-MX" w:eastAsia="es-ES"/>
        </w:rPr>
        <w:t xml:space="preserve"> de la Ley de Adquisiciones, Arrendamientos y Servicios del Sector Público, se procederá a evaluar técnicamente a las dos propuestas cuyo precio resulte ser el más bajo.</w:t>
      </w:r>
    </w:p>
    <w:p w14:paraId="1B193186" w14:textId="77777777" w:rsidR="0092173B" w:rsidRPr="005D22AE" w:rsidRDefault="0092173B" w:rsidP="0092173B">
      <w:pPr>
        <w:jc w:val="both"/>
        <w:rPr>
          <w:rFonts w:ascii="Noto Sans" w:eastAsia="Calibri" w:hAnsi="Noto Sans" w:cs="Noto Sans"/>
          <w:sz w:val="20"/>
          <w:szCs w:val="20"/>
          <w:lang w:val="es-MX" w:eastAsia="es-ES"/>
        </w:rPr>
      </w:pPr>
    </w:p>
    <w:p w14:paraId="308DB41A" w14:textId="77777777" w:rsidR="0092173B" w:rsidRPr="005D22AE" w:rsidRDefault="0092173B" w:rsidP="0092173B">
      <w:pPr>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No obstante lo anterior, en el caso de que ambas propuestas sean descalificadas por encontrarse en alguno de los supuestos previstos en el numeral referente a los CAUSALES DE DESCALIFICACIÓN de la presente convocatoria, se procederá a la evaluación de las propuestas restantes que previamente hayan sido aceptadas.</w:t>
      </w:r>
    </w:p>
    <w:p w14:paraId="47431BCB" w14:textId="77777777" w:rsidR="0092173B" w:rsidRPr="005D22AE" w:rsidRDefault="0092173B" w:rsidP="0092173B">
      <w:pPr>
        <w:jc w:val="both"/>
        <w:rPr>
          <w:rFonts w:ascii="Noto Sans" w:eastAsia="Calibri" w:hAnsi="Noto Sans" w:cs="Noto Sans"/>
          <w:sz w:val="20"/>
          <w:szCs w:val="20"/>
          <w:lang w:val="es-MX" w:eastAsia="es-ES"/>
        </w:rPr>
      </w:pPr>
    </w:p>
    <w:p w14:paraId="748E061F" w14:textId="77777777" w:rsidR="0092173B" w:rsidRPr="005D22AE" w:rsidRDefault="0092173B" w:rsidP="0092173B">
      <w:pPr>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 xml:space="preserve">Para efectos de la evaluación, se tomarán en consideración los criterios siguientes: </w:t>
      </w:r>
    </w:p>
    <w:p w14:paraId="078DC921" w14:textId="77777777" w:rsidR="0092173B" w:rsidRPr="005D22AE" w:rsidRDefault="0092173B" w:rsidP="0092173B">
      <w:pPr>
        <w:jc w:val="both"/>
        <w:rPr>
          <w:rFonts w:ascii="Noto Sans" w:eastAsia="Calibri" w:hAnsi="Noto Sans" w:cs="Noto Sans"/>
          <w:sz w:val="20"/>
          <w:szCs w:val="20"/>
          <w:lang w:val="es-MX" w:eastAsia="es-ES"/>
        </w:rPr>
      </w:pPr>
    </w:p>
    <w:p w14:paraId="65699FD2" w14:textId="77777777" w:rsidR="0092173B" w:rsidRPr="005D22AE" w:rsidRDefault="0092173B" w:rsidP="0092173B">
      <w:pPr>
        <w:numPr>
          <w:ilvl w:val="0"/>
          <w:numId w:val="6"/>
        </w:numPr>
        <w:spacing w:after="200" w:line="276" w:lineRule="auto"/>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Se verificará que incluyan la información, los documentos y los requisitos solicitados en esta convocatoria.</w:t>
      </w:r>
    </w:p>
    <w:p w14:paraId="20253B45" w14:textId="77777777" w:rsidR="0092173B" w:rsidRPr="005D22AE" w:rsidRDefault="0092173B" w:rsidP="0092173B">
      <w:pPr>
        <w:numPr>
          <w:ilvl w:val="0"/>
          <w:numId w:val="6"/>
        </w:numPr>
        <w:spacing w:after="200" w:line="276" w:lineRule="auto"/>
        <w:jc w:val="both"/>
        <w:rPr>
          <w:rFonts w:ascii="Noto Sans" w:eastAsia="Arial Unicode MS" w:hAnsi="Noto Sans" w:cs="Noto Sans"/>
          <w:sz w:val="20"/>
          <w:szCs w:val="20"/>
          <w:lang w:val="es-MX" w:eastAsia="es-ES"/>
        </w:rPr>
      </w:pPr>
      <w:r w:rsidRPr="005D22AE">
        <w:rPr>
          <w:rFonts w:ascii="Noto Sans" w:eastAsia="Calibri" w:hAnsi="Noto Sans" w:cs="Noto Sans"/>
          <w:sz w:val="20"/>
          <w:szCs w:val="20"/>
          <w:lang w:val="es-MX" w:eastAsia="es-ES"/>
        </w:rPr>
        <w:t>Se verificará documentalmente que los bienes ofertados, cumplan con las especificaciones técnicas y requisitos solicitados</w:t>
      </w:r>
      <w:r w:rsidRPr="005D22AE">
        <w:rPr>
          <w:rFonts w:ascii="Noto Sans" w:eastAsia="Calibri" w:hAnsi="Noto Sans" w:cs="Noto Sans"/>
          <w:bCs/>
          <w:sz w:val="20"/>
          <w:szCs w:val="20"/>
          <w:lang w:val="es-MX" w:eastAsia="es-ES"/>
        </w:rPr>
        <w:t xml:space="preserve"> de esta convocatoria, </w:t>
      </w:r>
      <w:r w:rsidRPr="005D22AE">
        <w:rPr>
          <w:rFonts w:ascii="Noto Sans" w:eastAsia="Calibri" w:hAnsi="Noto Sans" w:cs="Noto Sans"/>
          <w:sz w:val="20"/>
          <w:szCs w:val="20"/>
          <w:lang w:val="es-MX" w:eastAsia="es-ES"/>
        </w:rPr>
        <w:t>así como con aquellos que resulten de la junta de aclaraciones.</w:t>
      </w:r>
    </w:p>
    <w:p w14:paraId="4F5F82D5" w14:textId="77777777" w:rsidR="0092173B" w:rsidRPr="005D22AE" w:rsidRDefault="0092173B" w:rsidP="0092173B">
      <w:pPr>
        <w:numPr>
          <w:ilvl w:val="0"/>
          <w:numId w:val="6"/>
        </w:numPr>
        <w:spacing w:after="200" w:line="276" w:lineRule="auto"/>
        <w:jc w:val="both"/>
        <w:rPr>
          <w:rFonts w:ascii="Noto Sans" w:eastAsia="Arial Unicode MS" w:hAnsi="Noto Sans" w:cs="Noto Sans"/>
          <w:sz w:val="20"/>
          <w:szCs w:val="20"/>
          <w:lang w:val="es-MX" w:eastAsia="es-ES"/>
        </w:rPr>
      </w:pPr>
      <w:r w:rsidRPr="005D22AE">
        <w:rPr>
          <w:rFonts w:ascii="Noto Sans" w:eastAsia="Arial Unicode MS" w:hAnsi="Noto Sans" w:cs="Noto Sans"/>
          <w:sz w:val="20"/>
          <w:szCs w:val="20"/>
          <w:lang w:val="es-MX" w:eastAsia="es-ES"/>
        </w:rPr>
        <w:t>Se verificará la congruencia de los catálogos e instructivos que presenten los participantes con lo ofertado en la propuesta técnica, y en su caso con la muestra física presentada por el participante.</w:t>
      </w:r>
    </w:p>
    <w:p w14:paraId="1E2B0B22" w14:textId="77777777" w:rsidR="0092173B" w:rsidRPr="005D22AE" w:rsidRDefault="0092173B" w:rsidP="0092173B">
      <w:pPr>
        <w:numPr>
          <w:ilvl w:val="0"/>
          <w:numId w:val="6"/>
        </w:numPr>
        <w:spacing w:after="200" w:line="276" w:lineRule="auto"/>
        <w:jc w:val="both"/>
        <w:rPr>
          <w:rFonts w:ascii="Noto Sans" w:eastAsia="Arial Unicode MS" w:hAnsi="Noto Sans" w:cs="Noto Sans"/>
          <w:sz w:val="20"/>
          <w:szCs w:val="20"/>
          <w:lang w:val="es-MX" w:eastAsia="es-ES"/>
        </w:rPr>
      </w:pPr>
      <w:r w:rsidRPr="005D22AE">
        <w:rPr>
          <w:rFonts w:ascii="Noto Sans" w:eastAsia="Arial Unicode MS" w:hAnsi="Noto Sans" w:cs="Noto Sans"/>
          <w:sz w:val="20"/>
          <w:szCs w:val="20"/>
          <w:lang w:val="es-MX" w:eastAsia="es-ES"/>
        </w:rPr>
        <w:t>En general, el cumplimiento de las propuestas conforme a los requisitos establecidos en la convocatoria.</w:t>
      </w:r>
    </w:p>
    <w:p w14:paraId="7456E473" w14:textId="77777777" w:rsidR="0092173B" w:rsidRPr="005D22AE" w:rsidRDefault="0092173B" w:rsidP="0092173B">
      <w:pPr>
        <w:pStyle w:val="Prrafodelista"/>
        <w:tabs>
          <w:tab w:val="left" w:pos="0"/>
        </w:tabs>
        <w:ind w:left="0"/>
        <w:jc w:val="both"/>
        <w:rPr>
          <w:rFonts w:ascii="Noto Sans" w:eastAsia="Times New Roman" w:hAnsi="Noto Sans" w:cs="Noto Sans"/>
          <w:b/>
          <w:color w:val="000000"/>
          <w:sz w:val="20"/>
          <w:szCs w:val="20"/>
          <w:lang w:eastAsia="es-MX"/>
        </w:rPr>
      </w:pPr>
    </w:p>
    <w:p w14:paraId="44870C75" w14:textId="77777777" w:rsidR="0092173B" w:rsidRPr="005D22AE" w:rsidRDefault="0092173B" w:rsidP="0092173B">
      <w:pPr>
        <w:pStyle w:val="Prrafodelista"/>
        <w:tabs>
          <w:tab w:val="left" w:pos="0"/>
        </w:tabs>
        <w:ind w:left="0"/>
        <w:jc w:val="both"/>
        <w:rPr>
          <w:rFonts w:ascii="Noto Sans" w:eastAsia="Times New Roman" w:hAnsi="Noto Sans" w:cs="Noto Sans"/>
          <w:b/>
          <w:color w:val="000000"/>
          <w:sz w:val="20"/>
          <w:szCs w:val="20"/>
          <w:lang w:eastAsia="es-MX"/>
        </w:rPr>
      </w:pPr>
    </w:p>
    <w:p w14:paraId="0BF5C7F0" w14:textId="77777777" w:rsidR="0092173B" w:rsidRPr="005D22AE" w:rsidRDefault="0092173B" w:rsidP="0092173B">
      <w:pPr>
        <w:pStyle w:val="Prrafodelista"/>
        <w:tabs>
          <w:tab w:val="left" w:pos="0"/>
        </w:tabs>
        <w:ind w:left="0"/>
        <w:jc w:val="both"/>
        <w:rPr>
          <w:rFonts w:ascii="Noto Sans" w:eastAsiaTheme="minorHAnsi" w:hAnsi="Noto Sans" w:cs="Noto Sans"/>
          <w:b/>
          <w:sz w:val="20"/>
          <w:szCs w:val="20"/>
          <w:lang w:val="es-MX"/>
        </w:rPr>
      </w:pPr>
      <w:r w:rsidRPr="005D22AE">
        <w:rPr>
          <w:rFonts w:ascii="Noto Sans" w:eastAsia="Times New Roman" w:hAnsi="Noto Sans" w:cs="Noto Sans"/>
          <w:b/>
          <w:color w:val="000000"/>
          <w:sz w:val="20"/>
          <w:szCs w:val="20"/>
          <w:lang w:eastAsia="es-MX"/>
        </w:rPr>
        <w:t>Ejecución de la póliza de fianza de cumplimento de contrato:</w:t>
      </w:r>
    </w:p>
    <w:p w14:paraId="6F03F716"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062AE9FA"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El Instituto llevara a cabo la ejecución de la garantía de cumplimiento de contrato cuando:</w:t>
      </w:r>
    </w:p>
    <w:p w14:paraId="375ECD59"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a) Se rescinda administrativamente este contrato.</w:t>
      </w:r>
    </w:p>
    <w:p w14:paraId="4AF8ABA5"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b) Durante la vigencia del contrato se detecten deficiencias, fallas o calidad inferior de los servicios prestados, en comparación con los ofertados.</w:t>
      </w:r>
    </w:p>
    <w:p w14:paraId="40DDAA64"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c) Cuando en el supuesto de que se realicen modificaciones al contrato y no entregue en el plazo pactado, el endoso o la nueva garantía, que ampare el porcentaje establecido para garantizar el cumplimiento del presente instrumento jurídico, en términos de la cláusula décima primera.</w:t>
      </w:r>
    </w:p>
    <w:p w14:paraId="12DE82D1" w14:textId="77777777" w:rsidR="0092173B" w:rsidRPr="005D22AE" w:rsidRDefault="0092173B" w:rsidP="0092173B">
      <w:pPr>
        <w:pStyle w:val="Prrafodelista"/>
        <w:tabs>
          <w:tab w:val="left" w:pos="0"/>
        </w:tabs>
        <w:ind w:left="0"/>
        <w:jc w:val="both"/>
        <w:rPr>
          <w:rFonts w:ascii="Noto Sans" w:hAnsi="Noto Sans" w:cs="Noto Sans"/>
          <w:sz w:val="20"/>
          <w:szCs w:val="20"/>
        </w:rPr>
      </w:pPr>
      <w:r w:rsidRPr="005D22AE">
        <w:rPr>
          <w:rFonts w:ascii="Noto Sans" w:hAnsi="Noto Sans" w:cs="Noto Sans"/>
          <w:sz w:val="20"/>
          <w:szCs w:val="20"/>
        </w:rPr>
        <w:t>d) Por cualquier otro incumplimiento de las obligaciones contraídas en este contrato.</w:t>
      </w:r>
    </w:p>
    <w:p w14:paraId="7D4D4026" w14:textId="77777777" w:rsidR="0092173B" w:rsidRPr="005D22AE" w:rsidRDefault="0092173B" w:rsidP="0092173B">
      <w:pPr>
        <w:pStyle w:val="Prrafodelista"/>
        <w:tabs>
          <w:tab w:val="left" w:pos="0"/>
        </w:tabs>
        <w:ind w:left="0"/>
        <w:jc w:val="both"/>
        <w:rPr>
          <w:rFonts w:ascii="Noto Sans" w:hAnsi="Noto Sans" w:cs="Noto Sans"/>
          <w:sz w:val="20"/>
          <w:szCs w:val="20"/>
        </w:rPr>
      </w:pPr>
    </w:p>
    <w:p w14:paraId="17A2E2CD" w14:textId="77777777" w:rsidR="0092173B" w:rsidRPr="005D22AE" w:rsidRDefault="0092173B" w:rsidP="0092173B">
      <w:pPr>
        <w:pStyle w:val="Prrafodelista"/>
        <w:numPr>
          <w:ilvl w:val="0"/>
          <w:numId w:val="1"/>
        </w:numPr>
        <w:tabs>
          <w:tab w:val="left" w:pos="-284"/>
          <w:tab w:val="left" w:pos="9498"/>
        </w:tabs>
        <w:spacing w:before="240" w:after="160" w:line="254" w:lineRule="auto"/>
        <w:jc w:val="both"/>
        <w:rPr>
          <w:rFonts w:ascii="Noto Sans" w:eastAsia="Calibri" w:hAnsi="Noto Sans" w:cs="Noto Sans"/>
          <w:b/>
          <w:sz w:val="20"/>
          <w:szCs w:val="20"/>
          <w:lang w:eastAsia="es-ES"/>
        </w:rPr>
      </w:pPr>
      <w:r w:rsidRPr="005D22AE">
        <w:rPr>
          <w:rFonts w:ascii="Noto Sans" w:eastAsia="Calibri" w:hAnsi="Noto Sans" w:cs="Noto Sans"/>
          <w:b/>
          <w:sz w:val="20"/>
          <w:szCs w:val="20"/>
          <w:lang w:eastAsia="es-ES"/>
        </w:rPr>
        <w:t>CONDICIONES DE PAGO.</w:t>
      </w:r>
    </w:p>
    <w:p w14:paraId="5EE382A6" w14:textId="77777777" w:rsidR="0092173B" w:rsidRPr="005D22AE" w:rsidRDefault="0092173B" w:rsidP="0092173B">
      <w:pPr>
        <w:tabs>
          <w:tab w:val="left" w:pos="-284"/>
          <w:tab w:val="left" w:pos="9498"/>
        </w:tabs>
        <w:spacing w:before="240"/>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lastRenderedPageBreak/>
        <w:t xml:space="preserve">El Instituto se obliga a pagar a el proveedor, el importe que resulte por los bienes entregados en el mes inmediato anterior conforme a los precios unitarios en pesos mexicanos. Para que la obligación de pago se haga exigible, el proveedor deberá, presentar el día cinco de cada mes o el día hábil siguiente, la documentación completa y para realizar el trámite de pago, la factura debidamente </w:t>
      </w:r>
      <w:proofErr w:type="spellStart"/>
      <w:r w:rsidRPr="005D22AE">
        <w:rPr>
          <w:rFonts w:ascii="Noto Sans" w:eastAsia="Calibri" w:hAnsi="Noto Sans" w:cs="Noto Sans"/>
          <w:sz w:val="20"/>
          <w:szCs w:val="20"/>
          <w:lang w:val="es-MX" w:eastAsia="es-ES"/>
        </w:rPr>
        <w:t>requisitada</w:t>
      </w:r>
      <w:proofErr w:type="spellEnd"/>
      <w:r w:rsidRPr="005D22AE">
        <w:rPr>
          <w:rFonts w:ascii="Noto Sans" w:eastAsia="Calibri" w:hAnsi="Noto Sans" w:cs="Noto Sans"/>
          <w:sz w:val="20"/>
          <w:szCs w:val="20"/>
          <w:lang w:val="es-MX" w:eastAsia="es-ES"/>
        </w:rPr>
        <w:t>.</w:t>
      </w:r>
    </w:p>
    <w:p w14:paraId="591812A3" w14:textId="77777777" w:rsidR="0092173B" w:rsidRPr="005D22AE" w:rsidRDefault="0092173B" w:rsidP="0092173B">
      <w:pPr>
        <w:numPr>
          <w:ilvl w:val="12"/>
          <w:numId w:val="0"/>
        </w:numPr>
        <w:tabs>
          <w:tab w:val="left" w:pos="-284"/>
          <w:tab w:val="left" w:pos="9498"/>
        </w:tabs>
        <w:spacing w:line="20" w:lineRule="atLeast"/>
        <w:ind w:left="540" w:hanging="540"/>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 xml:space="preserve"> </w:t>
      </w:r>
    </w:p>
    <w:p w14:paraId="0B8FEC7B" w14:textId="77777777" w:rsidR="0092173B" w:rsidRPr="005D22AE" w:rsidRDefault="0092173B" w:rsidP="0092173B">
      <w:pPr>
        <w:tabs>
          <w:tab w:val="left" w:pos="-284"/>
          <w:tab w:val="left" w:pos="1563"/>
        </w:tabs>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17 días hábiles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publicado en el Diario Oficial de la Federación el día 28 de mayo de 2009.</w:t>
      </w:r>
    </w:p>
    <w:p w14:paraId="2B6FE86D" w14:textId="77777777" w:rsidR="0092173B" w:rsidRPr="005D22AE" w:rsidRDefault="0092173B" w:rsidP="0092173B">
      <w:pPr>
        <w:tabs>
          <w:tab w:val="left" w:pos="-284"/>
          <w:tab w:val="left" w:pos="1563"/>
        </w:tabs>
        <w:jc w:val="both"/>
        <w:rPr>
          <w:rFonts w:ascii="Noto Sans" w:eastAsia="Calibri" w:hAnsi="Noto Sans" w:cs="Noto Sans"/>
          <w:sz w:val="20"/>
          <w:szCs w:val="20"/>
          <w:lang w:val="es-MX" w:eastAsia="es-ES"/>
        </w:rPr>
      </w:pPr>
    </w:p>
    <w:p w14:paraId="7F346AD8" w14:textId="77777777" w:rsidR="0092173B" w:rsidRPr="005D22AE" w:rsidRDefault="0092173B" w:rsidP="0092173B">
      <w:pPr>
        <w:tabs>
          <w:tab w:val="left" w:pos="-284"/>
          <w:tab w:val="left" w:pos="1563"/>
        </w:tabs>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El proveedor deberá presentar original y copia de la factura (electrónica, de conformidad con las reformas fiscales), desglosando el impuesto al valor agregado y con los descuentos que en su caso se otorguen a El Instituto, que reúna los requisitos fiscales respectivos en la que se indique los bienes otorgados, número de proveedor, número de contrato, número de fianza y denominación social de la afianzadora; además del archivo XML.</w:t>
      </w:r>
    </w:p>
    <w:p w14:paraId="18F3EB17" w14:textId="77777777" w:rsidR="0092173B" w:rsidRPr="005D22AE" w:rsidRDefault="0092173B" w:rsidP="0092173B">
      <w:pPr>
        <w:tabs>
          <w:tab w:val="left" w:pos="-284"/>
          <w:tab w:val="left" w:pos="1563"/>
        </w:tabs>
        <w:jc w:val="both"/>
        <w:rPr>
          <w:rFonts w:ascii="Noto Sans" w:eastAsia="Calibri" w:hAnsi="Noto Sans" w:cs="Noto Sans"/>
          <w:sz w:val="20"/>
          <w:szCs w:val="20"/>
          <w:lang w:val="es-MX" w:eastAsia="es-ES"/>
        </w:rPr>
      </w:pPr>
    </w:p>
    <w:p w14:paraId="608E8654" w14:textId="77777777" w:rsidR="0092173B" w:rsidRPr="005D22AE" w:rsidRDefault="0092173B" w:rsidP="0092173B">
      <w:pPr>
        <w:tabs>
          <w:tab w:val="left" w:pos="-284"/>
          <w:tab w:val="left" w:pos="1563"/>
        </w:tabs>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El proveedor por cada contra recibo que solicite sea expedido por El Instituto invariablemente deberá presentar el documento denominado “OPINIÓN DE CUMPLIMIENTO DE OBLIGACIONES EN MATERIA DE SEGURIDAD SOCIAL VIGENTE Y POSITIVA”. En caso de que el proveedor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w:t>
      </w:r>
    </w:p>
    <w:p w14:paraId="56C42E77" w14:textId="77777777" w:rsidR="0092173B" w:rsidRPr="005D22AE" w:rsidRDefault="0092173B" w:rsidP="0092173B">
      <w:pPr>
        <w:tabs>
          <w:tab w:val="left" w:pos="-284"/>
          <w:tab w:val="left" w:pos="1563"/>
        </w:tabs>
        <w:jc w:val="both"/>
        <w:rPr>
          <w:rFonts w:ascii="Noto Sans" w:eastAsia="Calibri" w:hAnsi="Noto Sans" w:cs="Noto Sans"/>
          <w:sz w:val="20"/>
          <w:szCs w:val="20"/>
          <w:lang w:val="es-MX" w:eastAsia="es-ES"/>
        </w:rPr>
      </w:pPr>
    </w:p>
    <w:p w14:paraId="3F375EED" w14:textId="77777777" w:rsidR="0092173B" w:rsidRPr="005D22AE" w:rsidRDefault="0092173B" w:rsidP="0092173B">
      <w:pPr>
        <w:tabs>
          <w:tab w:val="left" w:pos="-284"/>
          <w:tab w:val="left" w:pos="1563"/>
        </w:tabs>
        <w:jc w:val="both"/>
        <w:rPr>
          <w:rFonts w:ascii="Noto Sans" w:eastAsia="Calibri" w:hAnsi="Noto Sans" w:cs="Noto Sans"/>
          <w:bCs/>
          <w:iCs/>
          <w:sz w:val="20"/>
          <w:szCs w:val="20"/>
          <w:lang w:val="es-MX" w:eastAsia="es-ES"/>
        </w:rPr>
      </w:pPr>
      <w:r w:rsidRPr="005D22AE">
        <w:rPr>
          <w:rFonts w:ascii="Noto Sans" w:eastAsia="Calibri" w:hAnsi="Noto Sans" w:cs="Noto Sans"/>
          <w:sz w:val="20"/>
          <w:szCs w:val="20"/>
          <w:lang w:val="es-MX" w:eastAsia="es-ES"/>
        </w:rPr>
        <w:t xml:space="preserve">Dicha documentación deberá ser presentarse en el Departamento de Planeación y  Finanzas, edificio administrativo de la Unidad Médica de Ata </w:t>
      </w:r>
      <w:r w:rsidRPr="005D22AE">
        <w:rPr>
          <w:rFonts w:ascii="Noto Sans" w:eastAsia="Calibri" w:hAnsi="Noto Sans" w:cs="Noto Sans"/>
          <w:bCs/>
          <w:iCs/>
          <w:sz w:val="20"/>
          <w:szCs w:val="20"/>
          <w:lang w:val="es-MX" w:eastAsia="es-ES"/>
        </w:rPr>
        <w:t>Especialidad, Hospital de Especialidades del Centro Médico Nacional de Occidente, ubicada en Belisario Domínguez No. 1000 col. Independencia. C.P. 44340, Guadalajara, Jalisco; con un horario de atención de lunes a viernes de 8:30 a 13:00 horas.</w:t>
      </w:r>
    </w:p>
    <w:p w14:paraId="4A417FD1" w14:textId="77777777" w:rsidR="0092173B" w:rsidRPr="005D22AE" w:rsidRDefault="0092173B" w:rsidP="0092173B">
      <w:pPr>
        <w:tabs>
          <w:tab w:val="left" w:pos="-284"/>
          <w:tab w:val="num" w:pos="540"/>
          <w:tab w:val="num" w:pos="567"/>
          <w:tab w:val="left" w:pos="2552"/>
          <w:tab w:val="left" w:pos="9498"/>
        </w:tabs>
        <w:overflowPunct w:val="0"/>
        <w:autoSpaceDE w:val="0"/>
        <w:autoSpaceDN w:val="0"/>
        <w:adjustRightInd w:val="0"/>
        <w:jc w:val="both"/>
        <w:textAlignment w:val="baseline"/>
        <w:rPr>
          <w:rFonts w:ascii="Noto Sans" w:eastAsia="Calibri" w:hAnsi="Noto Sans" w:cs="Noto Sans"/>
          <w:bCs/>
          <w:iCs/>
          <w:sz w:val="20"/>
          <w:szCs w:val="20"/>
          <w:lang w:val="es-MX" w:eastAsia="es-ES"/>
        </w:rPr>
      </w:pPr>
    </w:p>
    <w:p w14:paraId="4DD146F9" w14:textId="77777777" w:rsidR="0092173B" w:rsidRPr="005D22AE" w:rsidRDefault="0092173B" w:rsidP="0092173B">
      <w:pPr>
        <w:tabs>
          <w:tab w:val="left" w:pos="-284"/>
          <w:tab w:val="num" w:pos="540"/>
          <w:tab w:val="num" w:pos="567"/>
          <w:tab w:val="left" w:pos="2552"/>
          <w:tab w:val="left" w:pos="9498"/>
        </w:tabs>
        <w:overflowPunct w:val="0"/>
        <w:autoSpaceDE w:val="0"/>
        <w:autoSpaceDN w:val="0"/>
        <w:adjustRightInd w:val="0"/>
        <w:jc w:val="both"/>
        <w:textAlignment w:val="baseline"/>
        <w:rPr>
          <w:rFonts w:ascii="Noto Sans" w:eastAsia="Calibri" w:hAnsi="Noto Sans" w:cs="Noto Sans"/>
          <w:sz w:val="20"/>
          <w:szCs w:val="20"/>
          <w:lang w:val="es-ES_tradnl" w:eastAsia="es-ES"/>
        </w:rPr>
      </w:pPr>
      <w:r w:rsidRPr="005D22AE">
        <w:rPr>
          <w:rFonts w:ascii="Noto Sans" w:eastAsia="Calibri" w:hAnsi="Noto Sans" w:cs="Noto Sans"/>
          <w:sz w:val="20"/>
          <w:szCs w:val="20"/>
          <w:lang w:eastAsia="es-ES"/>
        </w:rPr>
        <w:t xml:space="preserve">En caso de que el proveedor presente su factura con errores o deficiencias, el plazo de pago se ajustará en términos del artículo </w:t>
      </w:r>
      <w:r w:rsidRPr="005D22AE">
        <w:rPr>
          <w:rFonts w:ascii="Noto Sans" w:eastAsia="Calibri" w:hAnsi="Noto Sans" w:cs="Noto Sans"/>
          <w:b/>
          <w:sz w:val="20"/>
          <w:szCs w:val="20"/>
          <w:lang w:eastAsia="es-ES"/>
        </w:rPr>
        <w:t>90</w:t>
      </w:r>
      <w:r w:rsidRPr="005D22AE">
        <w:rPr>
          <w:rFonts w:ascii="Noto Sans" w:eastAsia="Calibri" w:hAnsi="Noto Sans" w:cs="Noto Sans"/>
          <w:sz w:val="20"/>
          <w:szCs w:val="20"/>
          <w:lang w:eastAsia="es-ES"/>
        </w:rPr>
        <w:t xml:space="preserve"> del Reglamento.</w:t>
      </w:r>
    </w:p>
    <w:p w14:paraId="709C9452" w14:textId="77777777" w:rsidR="0092173B" w:rsidRPr="005D22AE" w:rsidRDefault="0092173B" w:rsidP="0092173B">
      <w:pPr>
        <w:tabs>
          <w:tab w:val="left" w:pos="-284"/>
          <w:tab w:val="num" w:pos="540"/>
          <w:tab w:val="num" w:pos="567"/>
          <w:tab w:val="left" w:pos="2552"/>
          <w:tab w:val="left" w:pos="9498"/>
        </w:tabs>
        <w:overflowPunct w:val="0"/>
        <w:autoSpaceDE w:val="0"/>
        <w:autoSpaceDN w:val="0"/>
        <w:adjustRightInd w:val="0"/>
        <w:jc w:val="both"/>
        <w:textAlignment w:val="baseline"/>
        <w:rPr>
          <w:rFonts w:ascii="Noto Sans" w:eastAsia="Calibri" w:hAnsi="Noto Sans" w:cs="Noto Sans"/>
          <w:sz w:val="20"/>
          <w:szCs w:val="20"/>
          <w:lang w:eastAsia="es-ES"/>
        </w:rPr>
      </w:pPr>
    </w:p>
    <w:p w14:paraId="41F31423" w14:textId="77777777" w:rsidR="0092173B" w:rsidRPr="005D22AE" w:rsidRDefault="0092173B" w:rsidP="0092173B">
      <w:pPr>
        <w:tabs>
          <w:tab w:val="left" w:pos="-284"/>
          <w:tab w:val="num" w:pos="540"/>
          <w:tab w:val="num" w:pos="567"/>
          <w:tab w:val="left" w:pos="2552"/>
          <w:tab w:val="left" w:pos="9498"/>
        </w:tabs>
        <w:overflowPunct w:val="0"/>
        <w:autoSpaceDE w:val="0"/>
        <w:autoSpaceDN w:val="0"/>
        <w:adjustRightInd w:val="0"/>
        <w:jc w:val="both"/>
        <w:textAlignment w:val="baseline"/>
        <w:rPr>
          <w:rFonts w:ascii="Noto Sans" w:eastAsia="Calibri" w:hAnsi="Noto Sans" w:cs="Noto Sans"/>
          <w:sz w:val="20"/>
          <w:szCs w:val="20"/>
          <w:lang w:eastAsia="es-ES"/>
        </w:rPr>
      </w:pPr>
      <w:r w:rsidRPr="005D22AE">
        <w:rPr>
          <w:rFonts w:ascii="Noto Sans" w:eastAsia="Calibri" w:hAnsi="Noto Sans" w:cs="Noto Sans"/>
          <w:bCs/>
          <w:iCs/>
          <w:sz w:val="20"/>
          <w:szCs w:val="20"/>
          <w:lang w:eastAsia="es-ES"/>
        </w:rPr>
        <w:t xml:space="preserve">El proveedor podrá optar porque el Instituto efectúe el pago de los bienes suministrados, a través del esquema electrónico </w:t>
      </w:r>
      <w:proofErr w:type="spellStart"/>
      <w:r w:rsidRPr="005D22AE">
        <w:rPr>
          <w:rFonts w:ascii="Noto Sans" w:eastAsia="Calibri" w:hAnsi="Noto Sans" w:cs="Noto Sans"/>
          <w:bCs/>
          <w:iCs/>
          <w:sz w:val="20"/>
          <w:szCs w:val="20"/>
          <w:lang w:eastAsia="es-ES"/>
        </w:rPr>
        <w:t>intrabancario</w:t>
      </w:r>
      <w:proofErr w:type="spellEnd"/>
      <w:r w:rsidRPr="005D22AE">
        <w:rPr>
          <w:rFonts w:ascii="Noto Sans" w:eastAsia="Calibri" w:hAnsi="Noto Sans" w:cs="Noto Sans"/>
          <w:bCs/>
          <w:iCs/>
          <w:sz w:val="20"/>
          <w:szCs w:val="20"/>
          <w:lang w:eastAsia="es-ES"/>
        </w:rPr>
        <w:t xml:space="preserve"> que el IMSS tiene en operación, con </w:t>
      </w:r>
      <w:r w:rsidRPr="005D22AE">
        <w:rPr>
          <w:rFonts w:ascii="Noto Sans" w:eastAsia="Calibri" w:hAnsi="Noto Sans" w:cs="Noto Sans"/>
          <w:sz w:val="20"/>
          <w:szCs w:val="20"/>
          <w:lang w:eastAsia="es-ES"/>
        </w:rPr>
        <w:t xml:space="preserve">las instituciones bancarias siguientes: Banamex, S.A., BBVA, Bancomer, S.A., Banorte, S.A. y </w:t>
      </w:r>
      <w:proofErr w:type="spellStart"/>
      <w:r w:rsidRPr="005D22AE">
        <w:rPr>
          <w:rFonts w:ascii="Noto Sans" w:eastAsia="Calibri" w:hAnsi="Noto Sans" w:cs="Noto Sans"/>
          <w:sz w:val="20"/>
          <w:szCs w:val="20"/>
          <w:lang w:eastAsia="es-ES"/>
        </w:rPr>
        <w:t>Scotiabank</w:t>
      </w:r>
      <w:proofErr w:type="spellEnd"/>
      <w:r w:rsidRPr="005D22AE">
        <w:rPr>
          <w:rFonts w:ascii="Noto Sans" w:eastAsia="Calibri" w:hAnsi="Noto Sans" w:cs="Noto Sans"/>
          <w:sz w:val="20"/>
          <w:szCs w:val="20"/>
          <w:lang w:eastAsia="es-ES"/>
        </w:rPr>
        <w:t xml:space="preserve"> Inverlat, S.A., para tal efecto deberá presentar en la </w:t>
      </w:r>
      <w:r w:rsidRPr="005D22AE">
        <w:rPr>
          <w:rFonts w:ascii="Noto Sans" w:eastAsia="Calibri" w:hAnsi="Noto Sans" w:cs="Noto Sans"/>
          <w:iCs/>
          <w:sz w:val="20"/>
          <w:szCs w:val="20"/>
          <w:lang w:eastAsia="es-ES"/>
        </w:rPr>
        <w:t xml:space="preserve">Unidad Médica de Alta Especialidad Hospital de Especialidades Departamento de Finanzas Ubicado en Belisario Domínguez No. 1,000 Sector Libertad Colonia Independencia C.P. 44340  Guadalajara, Jalisco, </w:t>
      </w:r>
      <w:r w:rsidRPr="005D22AE">
        <w:rPr>
          <w:rFonts w:ascii="Noto Sans" w:eastAsia="Calibri" w:hAnsi="Noto Sans" w:cs="Noto Sans"/>
          <w:sz w:val="20"/>
          <w:szCs w:val="20"/>
          <w:lang w:eastAsia="es-ES"/>
        </w:rPr>
        <w:t xml:space="preserve">petición escrita indicando: razón social, domicilio fiscal, número telefónico y fax, </w:t>
      </w:r>
      <w:r w:rsidRPr="005D22AE">
        <w:rPr>
          <w:rFonts w:ascii="Noto Sans" w:eastAsia="Calibri" w:hAnsi="Noto Sans" w:cs="Noto Sans"/>
          <w:sz w:val="20"/>
          <w:szCs w:val="20"/>
          <w:lang w:eastAsia="es-ES"/>
        </w:rPr>
        <w:lastRenderedPageBreak/>
        <w:t xml:space="preserve">nombre completo del apoderado legal con facultades de cobro y su firma, número de cuenta de cheques (número de clave bancaria estandarizada), banco, sucursal y plaza, así como, número de proveedor asignado por el IMSS. </w:t>
      </w:r>
    </w:p>
    <w:p w14:paraId="2558506B" w14:textId="77777777" w:rsidR="0092173B" w:rsidRPr="005D22AE" w:rsidRDefault="0092173B" w:rsidP="0092173B">
      <w:pPr>
        <w:jc w:val="both"/>
        <w:rPr>
          <w:rFonts w:ascii="Noto Sans" w:eastAsia="Calibri" w:hAnsi="Noto Sans" w:cs="Noto Sans"/>
          <w:sz w:val="20"/>
          <w:szCs w:val="20"/>
          <w:lang w:val="es-MX" w:eastAsia="es-ES"/>
        </w:rPr>
      </w:pPr>
    </w:p>
    <w:p w14:paraId="4811DA35" w14:textId="77777777" w:rsidR="0092173B" w:rsidRPr="005D22AE" w:rsidRDefault="0092173B" w:rsidP="0092173B">
      <w:pPr>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6FED0C13" w14:textId="77777777" w:rsidR="0092173B" w:rsidRPr="005D22AE" w:rsidRDefault="0092173B" w:rsidP="0092173B">
      <w:pPr>
        <w:jc w:val="both"/>
        <w:rPr>
          <w:rFonts w:ascii="Noto Sans" w:eastAsia="Calibri" w:hAnsi="Noto Sans" w:cs="Noto Sans"/>
          <w:sz w:val="20"/>
          <w:szCs w:val="20"/>
          <w:lang w:val="es-MX" w:eastAsia="es-ES"/>
        </w:rPr>
      </w:pPr>
    </w:p>
    <w:p w14:paraId="73F53986" w14:textId="77777777" w:rsidR="0092173B" w:rsidRPr="005D22AE" w:rsidRDefault="0092173B" w:rsidP="0092173B">
      <w:pPr>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Anexo a la solicitud de pago electrónico (</w:t>
      </w:r>
      <w:proofErr w:type="spellStart"/>
      <w:r w:rsidRPr="005D22AE">
        <w:rPr>
          <w:rFonts w:ascii="Noto Sans" w:eastAsia="Calibri" w:hAnsi="Noto Sans" w:cs="Noto Sans"/>
          <w:sz w:val="20"/>
          <w:szCs w:val="20"/>
          <w:lang w:val="es-MX" w:eastAsia="es-ES"/>
        </w:rPr>
        <w:t>intrabancario</w:t>
      </w:r>
      <w:proofErr w:type="spellEnd"/>
      <w:r w:rsidRPr="005D22AE">
        <w:rPr>
          <w:rFonts w:ascii="Noto Sans" w:eastAsia="Calibri" w:hAnsi="Noto Sans" w:cs="Noto Sans"/>
          <w:sz w:val="20"/>
          <w:szCs w:val="20"/>
          <w:lang w:val="es-MX" w:eastAsia="es-ES"/>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21ACB701" w14:textId="77777777" w:rsidR="0092173B" w:rsidRPr="005D22AE" w:rsidRDefault="0092173B" w:rsidP="0092173B">
      <w:pPr>
        <w:jc w:val="both"/>
        <w:rPr>
          <w:rFonts w:ascii="Noto Sans" w:eastAsia="Calibri" w:hAnsi="Noto Sans" w:cs="Noto Sans"/>
          <w:sz w:val="20"/>
          <w:szCs w:val="20"/>
          <w:lang w:val="es-MX" w:eastAsia="es-ES"/>
        </w:rPr>
      </w:pPr>
    </w:p>
    <w:p w14:paraId="79F5556F" w14:textId="77777777" w:rsidR="0092173B" w:rsidRPr="005D22AE" w:rsidRDefault="0092173B" w:rsidP="0092173B">
      <w:pPr>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 xml:space="preserve">Así mismo, el Instituto aceptará del proveedor, que en el supuesto de que tenga cuentas líquidas y exigibles a su cargo, aplicarlas contra los adeudos que, en su caso, tuviera por concepto de cuotas obrero patronales, conforme a lo previsto en el artículo </w:t>
      </w:r>
      <w:r w:rsidRPr="005D22AE">
        <w:rPr>
          <w:rFonts w:ascii="Noto Sans" w:eastAsia="Calibri" w:hAnsi="Noto Sans" w:cs="Noto Sans"/>
          <w:b/>
          <w:sz w:val="20"/>
          <w:szCs w:val="20"/>
          <w:lang w:val="es-MX" w:eastAsia="es-ES"/>
        </w:rPr>
        <w:t>40 B</w:t>
      </w:r>
      <w:r w:rsidRPr="005D22AE">
        <w:rPr>
          <w:rFonts w:ascii="Noto Sans" w:eastAsia="Calibri" w:hAnsi="Noto Sans" w:cs="Noto Sans"/>
          <w:sz w:val="20"/>
          <w:szCs w:val="20"/>
          <w:lang w:val="es-MX" w:eastAsia="es-ES"/>
        </w:rPr>
        <w:t>, de la Ley del Seguro Social.</w:t>
      </w:r>
    </w:p>
    <w:p w14:paraId="53DB8CBE" w14:textId="77777777" w:rsidR="0092173B" w:rsidRPr="005D22AE" w:rsidRDefault="0092173B" w:rsidP="0092173B">
      <w:pPr>
        <w:tabs>
          <w:tab w:val="left" w:pos="-284"/>
          <w:tab w:val="left" w:pos="9498"/>
        </w:tabs>
        <w:jc w:val="both"/>
        <w:rPr>
          <w:rFonts w:ascii="Noto Sans" w:eastAsia="Calibri" w:hAnsi="Noto Sans" w:cs="Noto Sans"/>
          <w:sz w:val="20"/>
          <w:szCs w:val="20"/>
          <w:lang w:val="es-MX" w:eastAsia="es-ES"/>
        </w:rPr>
      </w:pPr>
    </w:p>
    <w:p w14:paraId="28B333F6" w14:textId="77777777" w:rsidR="0092173B" w:rsidRPr="005D22AE" w:rsidRDefault="0092173B" w:rsidP="0092173B">
      <w:pPr>
        <w:tabs>
          <w:tab w:val="left" w:pos="-284"/>
          <w:tab w:val="left" w:pos="9498"/>
        </w:tabs>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Los proveedores que entreguen bienes al Instituto, y que celebren contratos de cesión de derechos de cobro, deberán notificarlo por escrito al Instituto, con un mínimo de 5 (cinco) días naturales anteriores a la fecha de pago programada, entregando invariablemente una copia de los contra recibos cuyo importe se cede, además de los documentos sustantivos de dicha cesión.</w:t>
      </w:r>
    </w:p>
    <w:p w14:paraId="7DDD1D29" w14:textId="77777777" w:rsidR="0092173B" w:rsidRPr="005D22AE" w:rsidRDefault="0092173B" w:rsidP="0092173B">
      <w:pPr>
        <w:spacing w:before="240"/>
        <w:jc w:val="both"/>
        <w:rPr>
          <w:rFonts w:ascii="Noto Sans" w:eastAsia="Calibri" w:hAnsi="Noto Sans" w:cs="Noto Sans"/>
          <w:sz w:val="20"/>
          <w:szCs w:val="20"/>
          <w:lang w:val="es-MX" w:eastAsia="es-ES"/>
        </w:rPr>
      </w:pPr>
      <w:r w:rsidRPr="005D22AE">
        <w:rPr>
          <w:rFonts w:ascii="Noto Sans" w:eastAsia="Calibri" w:hAnsi="Noto Sans" w:cs="Noto Sans"/>
          <w:sz w:val="20"/>
          <w:szCs w:val="20"/>
          <w:lang w:val="es-MX" w:eastAsia="es-ES"/>
        </w:rPr>
        <w:t>El pago de los bienes quedará condicionado proporcionalmente al pago que el proveedor deba efectuar por concepto de penas convencionales por atraso.</w:t>
      </w:r>
    </w:p>
    <w:p w14:paraId="26B4A1F6" w14:textId="77777777" w:rsidR="0092173B" w:rsidRPr="005D22AE" w:rsidRDefault="0092173B" w:rsidP="0092173B">
      <w:pPr>
        <w:jc w:val="both"/>
        <w:rPr>
          <w:rFonts w:ascii="Noto Sans" w:eastAsia="Times New Roman" w:hAnsi="Noto Sans" w:cs="Noto Sans"/>
          <w:b/>
          <w:bCs/>
          <w:color w:val="000000"/>
          <w:sz w:val="20"/>
          <w:szCs w:val="20"/>
          <w:lang w:val="es-MX" w:eastAsia="es-MX"/>
        </w:rPr>
      </w:pPr>
    </w:p>
    <w:p w14:paraId="7AB61BC7" w14:textId="77777777" w:rsidR="0092173B" w:rsidRPr="005D22AE" w:rsidRDefault="0092173B" w:rsidP="0092173B">
      <w:pPr>
        <w:pStyle w:val="Prrafodelista"/>
        <w:numPr>
          <w:ilvl w:val="0"/>
          <w:numId w:val="1"/>
        </w:numPr>
        <w:spacing w:after="160" w:line="254" w:lineRule="auto"/>
        <w:jc w:val="both"/>
        <w:rPr>
          <w:rFonts w:ascii="Noto Sans" w:eastAsia="Times New Roman" w:hAnsi="Noto Sans" w:cs="Noto Sans"/>
          <w:b/>
          <w:bCs/>
          <w:color w:val="000000"/>
          <w:sz w:val="20"/>
          <w:szCs w:val="20"/>
          <w:lang w:val="es-MX" w:eastAsia="es-MX"/>
        </w:rPr>
      </w:pPr>
      <w:r w:rsidRPr="005D22AE">
        <w:rPr>
          <w:rFonts w:ascii="Noto Sans" w:eastAsia="Times New Roman" w:hAnsi="Noto Sans" w:cs="Noto Sans"/>
          <w:b/>
          <w:bCs/>
          <w:color w:val="000000"/>
          <w:sz w:val="20"/>
          <w:szCs w:val="20"/>
          <w:lang w:eastAsia="es-MX"/>
        </w:rPr>
        <w:t>MECANISMOS DE COMPROBACIÓN, SUPERVISIÓN Y VERIFICACIÓN DE LOS BIENES CONTRATADOS Y ENTREGADOS.</w:t>
      </w:r>
    </w:p>
    <w:p w14:paraId="37549116" w14:textId="77777777" w:rsidR="0092173B" w:rsidRPr="005D22AE" w:rsidRDefault="0092173B" w:rsidP="0092173B">
      <w:pPr>
        <w:jc w:val="both"/>
        <w:rPr>
          <w:rFonts w:ascii="Noto Sans" w:hAnsi="Noto Sans" w:cs="Noto Sans"/>
          <w:sz w:val="20"/>
          <w:szCs w:val="20"/>
        </w:rPr>
      </w:pPr>
      <w:r w:rsidRPr="005D22AE">
        <w:rPr>
          <w:rFonts w:ascii="Noto Sans" w:hAnsi="Noto Sans" w:cs="Noto Sans"/>
          <w:sz w:val="20"/>
          <w:szCs w:val="20"/>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424ED322" w14:textId="77777777" w:rsidR="0092173B" w:rsidRPr="005D22AE" w:rsidRDefault="0092173B" w:rsidP="0092173B">
      <w:pPr>
        <w:jc w:val="both"/>
        <w:rPr>
          <w:rFonts w:ascii="Noto Sans" w:hAnsi="Noto Sans" w:cs="Noto Sans"/>
          <w:sz w:val="20"/>
          <w:szCs w:val="20"/>
        </w:rPr>
      </w:pPr>
    </w:p>
    <w:p w14:paraId="65068688" w14:textId="77777777" w:rsidR="0092173B" w:rsidRPr="005D22AE" w:rsidRDefault="0092173B" w:rsidP="0092173B">
      <w:pPr>
        <w:jc w:val="both"/>
        <w:rPr>
          <w:rFonts w:ascii="Noto Sans" w:hAnsi="Noto Sans" w:cs="Noto Sans"/>
          <w:sz w:val="20"/>
          <w:szCs w:val="20"/>
        </w:rPr>
      </w:pPr>
      <w:r w:rsidRPr="005D22AE">
        <w:rPr>
          <w:rFonts w:ascii="Noto Sans" w:hAnsi="Noto Sans" w:cs="Noto Sans"/>
          <w:sz w:val="20"/>
          <w:szCs w:val="20"/>
        </w:rPr>
        <w:t xml:space="preserve">El proveedor </w:t>
      </w:r>
      <w:r w:rsidRPr="005D22AE">
        <w:rPr>
          <w:rFonts w:ascii="Noto Sans" w:eastAsia="Times New Roman" w:hAnsi="Noto Sans" w:cs="Noto Sans"/>
          <w:color w:val="000000"/>
          <w:sz w:val="20"/>
          <w:szCs w:val="20"/>
          <w:lang w:eastAsia="es-MX"/>
        </w:rPr>
        <w:t>deberá entregar junto con los bienes: remisión en la que se indique el número de lote (en caso de aplicar), número de piezas y descripción de los bienes; orden de reposición.</w:t>
      </w:r>
    </w:p>
    <w:p w14:paraId="4663FEAD" w14:textId="77777777" w:rsidR="0092173B" w:rsidRPr="005D22AE" w:rsidRDefault="0092173B" w:rsidP="0092173B">
      <w:pPr>
        <w:jc w:val="both"/>
        <w:rPr>
          <w:rFonts w:ascii="Noto Sans" w:eastAsia="Times New Roman" w:hAnsi="Noto Sans" w:cs="Noto Sans"/>
          <w:color w:val="000000"/>
          <w:sz w:val="20"/>
          <w:szCs w:val="20"/>
          <w:lang w:eastAsia="es-MX"/>
        </w:rPr>
      </w:pPr>
    </w:p>
    <w:p w14:paraId="052E0293" w14:textId="77777777" w:rsidR="0092173B" w:rsidRPr="005D22AE" w:rsidRDefault="0092173B" w:rsidP="0092173B">
      <w:pPr>
        <w:jc w:val="both"/>
        <w:rPr>
          <w:rFonts w:ascii="Noto Sans" w:hAnsi="Noto Sans" w:cs="Noto Sans"/>
          <w:sz w:val="20"/>
          <w:szCs w:val="20"/>
        </w:rPr>
      </w:pPr>
      <w:r w:rsidRPr="005D22AE">
        <w:rPr>
          <w:rFonts w:ascii="Noto Sans" w:hAnsi="Noto Sans" w:cs="Noto Sans"/>
          <w:sz w:val="20"/>
          <w:szCs w:val="20"/>
        </w:rPr>
        <w:t>Cabe resaltar que mientras no se cumpla con las condiciones de entrega establecidas, El Instituto no dará por recibidos y aceptados los bienes.</w:t>
      </w:r>
    </w:p>
    <w:p w14:paraId="51257F11" w14:textId="77777777" w:rsidR="0092173B" w:rsidRPr="005D22AE" w:rsidRDefault="0092173B" w:rsidP="0092173B">
      <w:pPr>
        <w:jc w:val="both"/>
        <w:rPr>
          <w:rFonts w:ascii="Noto Sans" w:hAnsi="Noto Sans" w:cs="Noto Sans"/>
          <w:sz w:val="20"/>
          <w:szCs w:val="20"/>
        </w:rPr>
      </w:pPr>
    </w:p>
    <w:p w14:paraId="26889BD3" w14:textId="77777777" w:rsidR="0092173B" w:rsidRPr="005D22AE" w:rsidRDefault="0092173B" w:rsidP="0092173B">
      <w:pPr>
        <w:pStyle w:val="Prrafodelista"/>
        <w:numPr>
          <w:ilvl w:val="0"/>
          <w:numId w:val="1"/>
        </w:numPr>
        <w:spacing w:after="160" w:line="254" w:lineRule="auto"/>
        <w:jc w:val="both"/>
        <w:rPr>
          <w:rFonts w:ascii="Noto Sans" w:hAnsi="Noto Sans" w:cs="Noto Sans"/>
          <w:b/>
          <w:bCs/>
          <w:color w:val="000000"/>
          <w:sz w:val="20"/>
          <w:szCs w:val="20"/>
          <w:lang w:eastAsia="es-MX"/>
        </w:rPr>
      </w:pPr>
      <w:r w:rsidRPr="005D22AE">
        <w:rPr>
          <w:rFonts w:ascii="Noto Sans" w:hAnsi="Noto Sans" w:cs="Noto Sans"/>
          <w:b/>
          <w:bCs/>
          <w:color w:val="000000"/>
          <w:sz w:val="20"/>
          <w:szCs w:val="20"/>
          <w:lang w:eastAsia="es-MX"/>
        </w:rPr>
        <w:t>AVISO DE PRIVACIDAD, ASÍ COMO LA PRECISIÓN DE LAS MEDIDAS DE SEGURIDAD PARA EL MANEJO DE LA INFORMACIÓN PARA BIENES O SERVICIOS.</w:t>
      </w:r>
    </w:p>
    <w:p w14:paraId="61CEAFAA" w14:textId="77777777" w:rsidR="0092173B" w:rsidRPr="005D22AE" w:rsidRDefault="0092173B" w:rsidP="0092173B">
      <w:pPr>
        <w:jc w:val="both"/>
        <w:rPr>
          <w:rFonts w:ascii="Noto Sans" w:hAnsi="Noto Sans" w:cs="Noto Sans"/>
          <w:color w:val="000000"/>
          <w:sz w:val="20"/>
          <w:szCs w:val="20"/>
          <w:lang w:eastAsia="es-MX"/>
        </w:rPr>
      </w:pPr>
      <w:r w:rsidRPr="005D22AE">
        <w:rPr>
          <w:rFonts w:ascii="Noto Sans" w:hAnsi="Noto Sans" w:cs="Noto Sans"/>
          <w:color w:val="000000"/>
          <w:sz w:val="20"/>
          <w:szCs w:val="20"/>
          <w:lang w:eastAsia="es-MX"/>
        </w:rPr>
        <w:t xml:space="preserve">Los datos personales que se recaben con motivo del contacto con particulares serán protegidos. </w:t>
      </w:r>
    </w:p>
    <w:p w14:paraId="5135E792" w14:textId="77777777" w:rsidR="0092173B" w:rsidRPr="005D22AE" w:rsidRDefault="0092173B" w:rsidP="0092173B">
      <w:pPr>
        <w:jc w:val="both"/>
        <w:rPr>
          <w:rFonts w:ascii="Noto Sans" w:hAnsi="Noto Sans" w:cs="Noto Sans"/>
          <w:color w:val="000000"/>
          <w:sz w:val="20"/>
          <w:szCs w:val="20"/>
          <w:lang w:eastAsia="es-MX"/>
        </w:rPr>
      </w:pPr>
    </w:p>
    <w:p w14:paraId="1C01AB93" w14:textId="77777777" w:rsidR="0092173B" w:rsidRPr="005D22AE" w:rsidRDefault="0092173B" w:rsidP="0092173B">
      <w:pPr>
        <w:jc w:val="both"/>
        <w:rPr>
          <w:rFonts w:ascii="Noto Sans" w:hAnsi="Noto Sans" w:cs="Noto Sans"/>
          <w:color w:val="000000"/>
          <w:sz w:val="20"/>
          <w:szCs w:val="20"/>
          <w:lang w:eastAsia="es-MX"/>
        </w:rPr>
      </w:pPr>
      <w:r w:rsidRPr="005D22AE">
        <w:rPr>
          <w:rFonts w:ascii="Noto Sans" w:hAnsi="Noto Sans" w:cs="Noto Sans"/>
          <w:color w:val="000000"/>
          <w:sz w:val="20"/>
          <w:szCs w:val="20"/>
          <w:lang w:eastAsia="es-MX"/>
        </w:rPr>
        <w:lastRenderedPageBreak/>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071FF096" w14:textId="77777777" w:rsidR="0092173B" w:rsidRPr="005D22AE" w:rsidRDefault="0092173B" w:rsidP="0092173B">
      <w:pPr>
        <w:jc w:val="both"/>
        <w:rPr>
          <w:rFonts w:ascii="Noto Sans" w:hAnsi="Noto Sans" w:cs="Noto Sans"/>
          <w:color w:val="000000"/>
          <w:sz w:val="20"/>
          <w:szCs w:val="20"/>
          <w:lang w:eastAsia="es-MX"/>
        </w:rPr>
      </w:pPr>
    </w:p>
    <w:p w14:paraId="6F5D5739" w14:textId="77777777" w:rsidR="0092173B" w:rsidRPr="005D22AE" w:rsidRDefault="0092173B" w:rsidP="0092173B">
      <w:pPr>
        <w:pStyle w:val="Prrafodelista"/>
        <w:numPr>
          <w:ilvl w:val="0"/>
          <w:numId w:val="1"/>
        </w:numPr>
        <w:spacing w:after="160" w:line="254" w:lineRule="auto"/>
        <w:jc w:val="both"/>
        <w:rPr>
          <w:rFonts w:ascii="Noto Sans" w:hAnsi="Noto Sans" w:cs="Noto Sans"/>
          <w:b/>
          <w:color w:val="000000"/>
          <w:sz w:val="20"/>
          <w:szCs w:val="20"/>
          <w:lang w:eastAsia="es-MX"/>
        </w:rPr>
      </w:pPr>
      <w:r w:rsidRPr="005D22AE">
        <w:rPr>
          <w:rFonts w:ascii="Noto Sans" w:hAnsi="Noto Sans" w:cs="Noto Sans"/>
          <w:b/>
          <w:color w:val="000000"/>
          <w:sz w:val="20"/>
          <w:szCs w:val="20"/>
          <w:lang w:eastAsia="es-MX"/>
        </w:rPr>
        <w:t>SEGURO DE RESPONSABILIDAD CIVIL.</w:t>
      </w:r>
    </w:p>
    <w:p w14:paraId="6AE81067" w14:textId="77777777" w:rsidR="0092173B" w:rsidRPr="005D22AE" w:rsidRDefault="0092173B" w:rsidP="0092173B">
      <w:pPr>
        <w:jc w:val="both"/>
        <w:rPr>
          <w:rFonts w:ascii="Noto Sans" w:hAnsi="Noto Sans" w:cs="Noto Sans"/>
          <w:color w:val="000000"/>
          <w:sz w:val="20"/>
          <w:szCs w:val="20"/>
          <w:lang w:eastAsia="es-MX"/>
        </w:rPr>
      </w:pPr>
      <w:r w:rsidRPr="005D22AE">
        <w:rPr>
          <w:rFonts w:ascii="Noto Sans" w:hAnsi="Noto Sans" w:cs="Noto Sans"/>
          <w:color w:val="000000"/>
          <w:sz w:val="20"/>
          <w:szCs w:val="20"/>
          <w:lang w:eastAsia="es-MX"/>
        </w:rPr>
        <w:t>No aplica.</w:t>
      </w:r>
    </w:p>
    <w:p w14:paraId="63CA326E" w14:textId="77777777" w:rsidR="0092173B" w:rsidRPr="005D22AE" w:rsidRDefault="0092173B" w:rsidP="0092173B">
      <w:pPr>
        <w:jc w:val="both"/>
        <w:rPr>
          <w:rFonts w:ascii="Noto Sans" w:hAnsi="Noto Sans" w:cs="Noto Sans"/>
          <w:b/>
          <w:color w:val="000000"/>
          <w:sz w:val="20"/>
          <w:szCs w:val="20"/>
          <w:lang w:eastAsia="es-MX"/>
        </w:rPr>
      </w:pPr>
    </w:p>
    <w:p w14:paraId="5EFD9F45" w14:textId="77777777" w:rsidR="0092173B" w:rsidRPr="005D22AE" w:rsidRDefault="0092173B" w:rsidP="0092173B">
      <w:pPr>
        <w:pStyle w:val="Prrafodelista"/>
        <w:numPr>
          <w:ilvl w:val="0"/>
          <w:numId w:val="1"/>
        </w:numPr>
        <w:spacing w:after="160" w:line="254" w:lineRule="auto"/>
        <w:jc w:val="both"/>
        <w:rPr>
          <w:rFonts w:ascii="Noto Sans" w:hAnsi="Noto Sans" w:cs="Noto Sans"/>
          <w:b/>
          <w:color w:val="000000"/>
          <w:sz w:val="20"/>
          <w:szCs w:val="20"/>
          <w:lang w:eastAsia="es-MX"/>
        </w:rPr>
      </w:pPr>
      <w:r w:rsidRPr="005D22AE">
        <w:rPr>
          <w:rFonts w:ascii="Noto Sans" w:hAnsi="Noto Sans" w:cs="Noto Sans"/>
          <w:b/>
          <w:color w:val="000000"/>
          <w:sz w:val="20"/>
          <w:szCs w:val="20"/>
          <w:lang w:eastAsia="es-MX"/>
        </w:rPr>
        <w:t>DICTAMEN DE PROTECCIÓN CIVIL.</w:t>
      </w:r>
    </w:p>
    <w:p w14:paraId="3D32D543" w14:textId="42D3F6D4" w:rsidR="002A1DAE" w:rsidRPr="005D22AE" w:rsidRDefault="0092173B" w:rsidP="0092173B">
      <w:pPr>
        <w:jc w:val="both"/>
        <w:rPr>
          <w:rFonts w:ascii="Noto Sans" w:hAnsi="Noto Sans" w:cs="Noto Sans"/>
          <w:color w:val="000000"/>
          <w:sz w:val="20"/>
          <w:szCs w:val="20"/>
          <w:lang w:eastAsia="es-MX"/>
        </w:rPr>
      </w:pPr>
      <w:r w:rsidRPr="005D22AE">
        <w:rPr>
          <w:rFonts w:ascii="Noto Sans" w:hAnsi="Noto Sans" w:cs="Noto Sans"/>
          <w:color w:val="000000"/>
          <w:sz w:val="20"/>
          <w:szCs w:val="20"/>
          <w:lang w:eastAsia="es-MX"/>
        </w:rPr>
        <w:t>No aplica.</w:t>
      </w:r>
    </w:p>
    <w:p w14:paraId="76CE3485" w14:textId="6786787C" w:rsidR="00B0615C" w:rsidRPr="005D22AE" w:rsidRDefault="00B0615C" w:rsidP="006A582D">
      <w:pPr>
        <w:rPr>
          <w:rFonts w:ascii="Noto Sans" w:hAnsi="Noto Sans" w:cs="Noto Sans"/>
        </w:rPr>
      </w:pPr>
    </w:p>
    <w:p w14:paraId="4D1E250F" w14:textId="77777777" w:rsidR="002A1DAE" w:rsidRPr="005D22AE" w:rsidRDefault="002A1DAE" w:rsidP="006A582D">
      <w:pPr>
        <w:rPr>
          <w:rFonts w:ascii="Noto Sans" w:hAnsi="Noto Sans" w:cs="Noto Sans"/>
        </w:rPr>
      </w:pPr>
    </w:p>
    <w:p w14:paraId="1C25C6DE" w14:textId="77777777" w:rsidR="002A1DAE" w:rsidRPr="005D22AE" w:rsidRDefault="002A1DAE" w:rsidP="002A1DAE">
      <w:pPr>
        <w:jc w:val="center"/>
        <w:rPr>
          <w:rFonts w:ascii="Noto Sans" w:hAnsi="Noto Sans" w:cs="Noto Sans"/>
          <w:sz w:val="20"/>
          <w:szCs w:val="20"/>
        </w:rPr>
      </w:pPr>
      <w:r w:rsidRPr="005D22AE">
        <w:rPr>
          <w:rFonts w:ascii="Noto Sans" w:hAnsi="Noto Sans" w:cs="Noto Sans"/>
          <w:sz w:val="20"/>
          <w:szCs w:val="20"/>
        </w:rPr>
        <w:t>LUGAR Y FECHA</w:t>
      </w:r>
    </w:p>
    <w:p w14:paraId="704AE9F1" w14:textId="77777777" w:rsidR="002A1DAE" w:rsidRPr="005D22AE" w:rsidRDefault="002A1DAE" w:rsidP="002A1DAE">
      <w:pPr>
        <w:jc w:val="both"/>
        <w:rPr>
          <w:rFonts w:ascii="Noto Sans" w:hAnsi="Noto Sans" w:cs="Noto Sans"/>
          <w:sz w:val="20"/>
          <w:szCs w:val="20"/>
        </w:rPr>
      </w:pPr>
    </w:p>
    <w:p w14:paraId="04FDC4B5" w14:textId="77777777" w:rsidR="002A1DAE" w:rsidRPr="005D22AE" w:rsidRDefault="002A1DAE" w:rsidP="002A1DAE">
      <w:pPr>
        <w:jc w:val="both"/>
        <w:rPr>
          <w:rFonts w:ascii="Noto Sans" w:hAnsi="Noto Sans" w:cs="Noto Sans"/>
          <w:sz w:val="20"/>
          <w:szCs w:val="20"/>
        </w:rPr>
      </w:pPr>
    </w:p>
    <w:p w14:paraId="166FF480" w14:textId="77777777" w:rsidR="002A1DAE" w:rsidRPr="005D22AE" w:rsidRDefault="002A1DAE" w:rsidP="002A1DAE">
      <w:pPr>
        <w:pStyle w:val="Textoindependiente21"/>
        <w:overflowPunct/>
        <w:adjustRightInd/>
        <w:jc w:val="center"/>
        <w:textAlignment w:val="auto"/>
        <w:rPr>
          <w:rFonts w:ascii="Noto Sans" w:hAnsi="Noto Sans" w:cs="Noto Sans"/>
        </w:rPr>
      </w:pPr>
      <w:r w:rsidRPr="005D22AE">
        <w:rPr>
          <w:rFonts w:ascii="Noto Sans" w:hAnsi="Noto Sans" w:cs="Noto Sans"/>
        </w:rPr>
        <w:t>____________________________________</w:t>
      </w:r>
    </w:p>
    <w:p w14:paraId="6003946F" w14:textId="04626089" w:rsidR="002A1DAE" w:rsidRPr="00D83A51" w:rsidRDefault="002A1DAE" w:rsidP="002A1DAE">
      <w:pPr>
        <w:jc w:val="center"/>
        <w:rPr>
          <w:rFonts w:ascii="Noto Sans" w:hAnsi="Noto Sans" w:cs="Noto Sans"/>
          <w:b/>
          <w:bCs/>
          <w:sz w:val="20"/>
          <w:szCs w:val="20"/>
        </w:rPr>
      </w:pPr>
      <w:r w:rsidRPr="005D22AE">
        <w:rPr>
          <w:rFonts w:ascii="Noto Sans" w:hAnsi="Noto Sans" w:cs="Noto Sans"/>
          <w:b/>
          <w:bCs/>
          <w:sz w:val="20"/>
          <w:szCs w:val="20"/>
        </w:rPr>
        <w:t>(NOMBRE Y FIRMA REPRESENTANTE LEGAL)</w:t>
      </w:r>
    </w:p>
    <w:p w14:paraId="30DA8861" w14:textId="77777777" w:rsidR="002A1DAE" w:rsidRPr="002A1DAE" w:rsidRDefault="002A1DAE" w:rsidP="006A582D">
      <w:pPr>
        <w:rPr>
          <w:rFonts w:ascii="Noto Sans" w:hAnsi="Noto Sans" w:cs="Noto Sans"/>
        </w:rPr>
      </w:pPr>
    </w:p>
    <w:sectPr w:rsidR="002A1DAE" w:rsidRPr="002A1DAE"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D2356" w14:textId="77777777" w:rsidR="003812B6" w:rsidRDefault="003812B6" w:rsidP="0039787C">
      <w:r>
        <w:separator/>
      </w:r>
    </w:p>
  </w:endnote>
  <w:endnote w:type="continuationSeparator" w:id="0">
    <w:p w14:paraId="1167D5DF" w14:textId="77777777" w:rsidR="003812B6" w:rsidRDefault="003812B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Segoe U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5D22AE">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5D22AE">
              <w:rPr>
                <w:rFonts w:ascii="Noto Sans" w:hAnsi="Noto Sans" w:cs="Noto Sans"/>
                <w:b/>
                <w:bCs/>
                <w:noProof/>
                <w:sz w:val="16"/>
                <w:szCs w:val="16"/>
              </w:rPr>
              <w:t>9</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43EB3" w14:textId="77777777" w:rsidR="003812B6" w:rsidRDefault="003812B6" w:rsidP="0039787C">
      <w:r>
        <w:separator/>
      </w:r>
    </w:p>
  </w:footnote>
  <w:footnote w:type="continuationSeparator" w:id="0">
    <w:p w14:paraId="665BC1C2" w14:textId="77777777" w:rsidR="003812B6" w:rsidRDefault="003812B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14F5B6F9" w14:textId="77777777" w:rsidR="00FD7DA1" w:rsidRPr="004424A7" w:rsidRDefault="00FD7DA1" w:rsidP="00FD7DA1">
                          <w:pPr>
                            <w:jc w:val="right"/>
                            <w:rPr>
                              <w:rFonts w:ascii="Noto Sans" w:hAnsi="Noto Sans" w:cs="Noto Sans"/>
                              <w:b/>
                              <w:bCs/>
                              <w:sz w:val="18"/>
                              <w:szCs w:val="18"/>
                            </w:rPr>
                          </w:pPr>
                          <w:r>
                            <w:rPr>
                              <w:rFonts w:ascii="Noto Sans" w:hAnsi="Noto Sans" w:cs="Noto Sans"/>
                              <w:b/>
                              <w:bCs/>
                              <w:sz w:val="18"/>
                              <w:szCs w:val="18"/>
                            </w:rPr>
                            <w:t>Licitación Pública Nacional</w:t>
                          </w:r>
                        </w:p>
                        <w:p w14:paraId="31793557" w14:textId="77777777" w:rsidR="00FD7DA1" w:rsidRPr="00B52EBA" w:rsidRDefault="00FD7DA1" w:rsidP="00FD7DA1">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14F5B6F9" w14:textId="77777777" w:rsidR="00FD7DA1" w:rsidRPr="004424A7" w:rsidRDefault="00FD7DA1" w:rsidP="00FD7DA1">
                    <w:pPr>
                      <w:jc w:val="right"/>
                      <w:rPr>
                        <w:rFonts w:ascii="Noto Sans" w:hAnsi="Noto Sans" w:cs="Noto Sans"/>
                        <w:b/>
                        <w:bCs/>
                        <w:sz w:val="18"/>
                        <w:szCs w:val="18"/>
                      </w:rPr>
                    </w:pPr>
                    <w:r>
                      <w:rPr>
                        <w:rFonts w:ascii="Noto Sans" w:hAnsi="Noto Sans" w:cs="Noto Sans"/>
                        <w:b/>
                        <w:bCs/>
                        <w:sz w:val="18"/>
                        <w:szCs w:val="18"/>
                      </w:rPr>
                      <w:t>Licitación Pública Nacional</w:t>
                    </w:r>
                  </w:p>
                  <w:p w14:paraId="31793557" w14:textId="77777777" w:rsidR="00FD7DA1" w:rsidRPr="00B52EBA" w:rsidRDefault="00FD7DA1" w:rsidP="00FD7DA1">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23F10B3D"/>
    <w:multiLevelType w:val="hybridMultilevel"/>
    <w:tmpl w:val="D228CFDC"/>
    <w:lvl w:ilvl="0" w:tplc="20329DB0">
      <w:numFmt w:val="bullet"/>
      <w:lvlText w:val="-"/>
      <w:lvlJc w:val="left"/>
      <w:pPr>
        <w:ind w:left="1473" w:hanging="360"/>
      </w:pPr>
      <w:rPr>
        <w:rFonts w:ascii="Montserrat" w:eastAsia="Calibri" w:hAnsi="Montserrat" w:cs="Arial" w:hint="default"/>
      </w:rPr>
    </w:lvl>
    <w:lvl w:ilvl="1" w:tplc="080A0003">
      <w:start w:val="1"/>
      <w:numFmt w:val="bullet"/>
      <w:lvlText w:val="o"/>
      <w:lvlJc w:val="left"/>
      <w:pPr>
        <w:ind w:left="2193" w:hanging="360"/>
      </w:pPr>
      <w:rPr>
        <w:rFonts w:ascii="Courier New" w:hAnsi="Courier New" w:cs="Courier New" w:hint="default"/>
      </w:rPr>
    </w:lvl>
    <w:lvl w:ilvl="2" w:tplc="080A0005">
      <w:start w:val="1"/>
      <w:numFmt w:val="bullet"/>
      <w:lvlText w:val=""/>
      <w:lvlJc w:val="left"/>
      <w:pPr>
        <w:ind w:left="2913" w:hanging="360"/>
      </w:pPr>
      <w:rPr>
        <w:rFonts w:ascii="Wingdings" w:hAnsi="Wingdings" w:hint="default"/>
      </w:rPr>
    </w:lvl>
    <w:lvl w:ilvl="3" w:tplc="080A0001">
      <w:start w:val="1"/>
      <w:numFmt w:val="bullet"/>
      <w:lvlText w:val=""/>
      <w:lvlJc w:val="left"/>
      <w:pPr>
        <w:ind w:left="3633" w:hanging="360"/>
      </w:pPr>
      <w:rPr>
        <w:rFonts w:ascii="Symbol" w:hAnsi="Symbol" w:hint="default"/>
      </w:rPr>
    </w:lvl>
    <w:lvl w:ilvl="4" w:tplc="080A0003">
      <w:start w:val="1"/>
      <w:numFmt w:val="bullet"/>
      <w:lvlText w:val="o"/>
      <w:lvlJc w:val="left"/>
      <w:pPr>
        <w:ind w:left="4353" w:hanging="360"/>
      </w:pPr>
      <w:rPr>
        <w:rFonts w:ascii="Courier New" w:hAnsi="Courier New" w:cs="Courier New" w:hint="default"/>
      </w:rPr>
    </w:lvl>
    <w:lvl w:ilvl="5" w:tplc="080A0005">
      <w:start w:val="1"/>
      <w:numFmt w:val="bullet"/>
      <w:lvlText w:val=""/>
      <w:lvlJc w:val="left"/>
      <w:pPr>
        <w:ind w:left="5073" w:hanging="360"/>
      </w:pPr>
      <w:rPr>
        <w:rFonts w:ascii="Wingdings" w:hAnsi="Wingdings" w:hint="default"/>
      </w:rPr>
    </w:lvl>
    <w:lvl w:ilvl="6" w:tplc="080A0001">
      <w:start w:val="1"/>
      <w:numFmt w:val="bullet"/>
      <w:lvlText w:val=""/>
      <w:lvlJc w:val="left"/>
      <w:pPr>
        <w:ind w:left="5793" w:hanging="360"/>
      </w:pPr>
      <w:rPr>
        <w:rFonts w:ascii="Symbol" w:hAnsi="Symbol" w:hint="default"/>
      </w:rPr>
    </w:lvl>
    <w:lvl w:ilvl="7" w:tplc="080A0003">
      <w:start w:val="1"/>
      <w:numFmt w:val="bullet"/>
      <w:lvlText w:val="o"/>
      <w:lvlJc w:val="left"/>
      <w:pPr>
        <w:ind w:left="6513" w:hanging="360"/>
      </w:pPr>
      <w:rPr>
        <w:rFonts w:ascii="Courier New" w:hAnsi="Courier New" w:cs="Courier New" w:hint="default"/>
      </w:rPr>
    </w:lvl>
    <w:lvl w:ilvl="8" w:tplc="080A0005">
      <w:start w:val="1"/>
      <w:numFmt w:val="bullet"/>
      <w:lvlText w:val=""/>
      <w:lvlJc w:val="left"/>
      <w:pPr>
        <w:ind w:left="7233" w:hanging="360"/>
      </w:pPr>
      <w:rPr>
        <w:rFonts w:ascii="Wingdings" w:hAnsi="Wingdings" w:hint="default"/>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50424B43"/>
    <w:multiLevelType w:val="hybridMultilevel"/>
    <w:tmpl w:val="BE3E0BB2"/>
    <w:lvl w:ilvl="0" w:tplc="49583EC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54A63D3F"/>
    <w:multiLevelType w:val="hybridMultilevel"/>
    <w:tmpl w:val="9334C8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5C1F5EE9"/>
    <w:multiLevelType w:val="hybridMultilevel"/>
    <w:tmpl w:val="609A6D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5E941D18"/>
    <w:multiLevelType w:val="hybridMultilevel"/>
    <w:tmpl w:val="6518B7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24E9"/>
    <w:rsid w:val="00004BCA"/>
    <w:rsid w:val="00010C33"/>
    <w:rsid w:val="00026B4F"/>
    <w:rsid w:val="000270F9"/>
    <w:rsid w:val="00027720"/>
    <w:rsid w:val="0003771E"/>
    <w:rsid w:val="00037DDA"/>
    <w:rsid w:val="00040161"/>
    <w:rsid w:val="00053302"/>
    <w:rsid w:val="00054046"/>
    <w:rsid w:val="000575C5"/>
    <w:rsid w:val="00075E33"/>
    <w:rsid w:val="000816BA"/>
    <w:rsid w:val="000841B8"/>
    <w:rsid w:val="00094FB7"/>
    <w:rsid w:val="000B2B4E"/>
    <w:rsid w:val="000B34FE"/>
    <w:rsid w:val="000C2FAF"/>
    <w:rsid w:val="000D0C14"/>
    <w:rsid w:val="000D4DEA"/>
    <w:rsid w:val="000E41D1"/>
    <w:rsid w:val="000E5E7C"/>
    <w:rsid w:val="000F5EDF"/>
    <w:rsid w:val="00100AD3"/>
    <w:rsid w:val="00101FC7"/>
    <w:rsid w:val="00110582"/>
    <w:rsid w:val="001374F9"/>
    <w:rsid w:val="00137BEC"/>
    <w:rsid w:val="00147C2A"/>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A1DAE"/>
    <w:rsid w:val="002B6030"/>
    <w:rsid w:val="002C0BB4"/>
    <w:rsid w:val="002C7F33"/>
    <w:rsid w:val="002D1CDC"/>
    <w:rsid w:val="002D50A0"/>
    <w:rsid w:val="002F5D53"/>
    <w:rsid w:val="00300EFD"/>
    <w:rsid w:val="003115DF"/>
    <w:rsid w:val="00312155"/>
    <w:rsid w:val="00330B44"/>
    <w:rsid w:val="00336759"/>
    <w:rsid w:val="00354FB4"/>
    <w:rsid w:val="00356BA5"/>
    <w:rsid w:val="00361A25"/>
    <w:rsid w:val="00370460"/>
    <w:rsid w:val="003803D2"/>
    <w:rsid w:val="003812B6"/>
    <w:rsid w:val="00382542"/>
    <w:rsid w:val="00391FC3"/>
    <w:rsid w:val="0039787C"/>
    <w:rsid w:val="003A7652"/>
    <w:rsid w:val="003A7F82"/>
    <w:rsid w:val="003C0448"/>
    <w:rsid w:val="00402986"/>
    <w:rsid w:val="0041602A"/>
    <w:rsid w:val="00426942"/>
    <w:rsid w:val="00427834"/>
    <w:rsid w:val="0042790E"/>
    <w:rsid w:val="004315CC"/>
    <w:rsid w:val="0044051E"/>
    <w:rsid w:val="004424A7"/>
    <w:rsid w:val="00443D3A"/>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D22AE"/>
    <w:rsid w:val="005E2364"/>
    <w:rsid w:val="005E2913"/>
    <w:rsid w:val="005F3E45"/>
    <w:rsid w:val="00607965"/>
    <w:rsid w:val="00613777"/>
    <w:rsid w:val="00620145"/>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D4CC6"/>
    <w:rsid w:val="009021E3"/>
    <w:rsid w:val="00905FF0"/>
    <w:rsid w:val="009111D0"/>
    <w:rsid w:val="0092173B"/>
    <w:rsid w:val="0092745C"/>
    <w:rsid w:val="009563CD"/>
    <w:rsid w:val="00966548"/>
    <w:rsid w:val="00985613"/>
    <w:rsid w:val="009959E8"/>
    <w:rsid w:val="009B08C4"/>
    <w:rsid w:val="009B0BDB"/>
    <w:rsid w:val="009B7F6D"/>
    <w:rsid w:val="009C7D86"/>
    <w:rsid w:val="009D1F75"/>
    <w:rsid w:val="009D2631"/>
    <w:rsid w:val="009D73F2"/>
    <w:rsid w:val="009E3F41"/>
    <w:rsid w:val="009E7367"/>
    <w:rsid w:val="00A055CD"/>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E6CD2"/>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22EA5"/>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B7AEA"/>
    <w:rsid w:val="00FC1BA2"/>
    <w:rsid w:val="00FC723A"/>
    <w:rsid w:val="00FD6C52"/>
    <w:rsid w:val="00FD7D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A7D3-220F-47C8-A315-A6758DBE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9</Pages>
  <Words>3318</Words>
  <Characters>18249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143</cp:revision>
  <cp:lastPrinted>2025-05-02T19:38:00Z</cp:lastPrinted>
  <dcterms:created xsi:type="dcterms:W3CDTF">2025-01-08T20:43:00Z</dcterms:created>
  <dcterms:modified xsi:type="dcterms:W3CDTF">2025-08-14T15:45:00Z</dcterms:modified>
</cp:coreProperties>
</file>