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A5E8F" w14:textId="27C388A1" w:rsidR="00042072" w:rsidRPr="007151F4" w:rsidRDefault="002D2D54" w:rsidP="007151F4">
      <w:pPr>
        <w:tabs>
          <w:tab w:val="left" w:pos="1882"/>
          <w:tab w:val="center" w:pos="3106"/>
        </w:tabs>
        <w:spacing w:line="276" w:lineRule="auto"/>
        <w:rPr>
          <w:rFonts w:ascii="Geomanist" w:hAnsi="Geomanist"/>
          <w:b/>
          <w:sz w:val="18"/>
          <w:szCs w:val="20"/>
        </w:rPr>
      </w:pPr>
      <w:r>
        <w:rPr>
          <w:rFonts w:ascii="Geomanist" w:hAnsi="Geomanist"/>
          <w:b/>
          <w:sz w:val="18"/>
          <w:szCs w:val="20"/>
        </w:rPr>
        <w:t xml:space="preserve"> </w:t>
      </w:r>
      <w:r w:rsidR="007151F4" w:rsidRPr="007151F4">
        <w:rPr>
          <w:rFonts w:ascii="Geomanist" w:hAnsi="Geomanist"/>
          <w:b/>
          <w:sz w:val="18"/>
          <w:szCs w:val="20"/>
        </w:rPr>
        <w:tab/>
      </w:r>
      <w:r w:rsidR="007151F4" w:rsidRPr="007151F4">
        <w:rPr>
          <w:rFonts w:ascii="Geomanist" w:hAnsi="Geomanist"/>
          <w:b/>
          <w:sz w:val="18"/>
          <w:szCs w:val="20"/>
        </w:rPr>
        <w:tab/>
      </w:r>
      <w:r w:rsidR="004D2D36" w:rsidRPr="007151F4">
        <w:rPr>
          <w:rFonts w:ascii="Geomanist" w:hAnsi="Geomanist"/>
          <w:b/>
          <w:sz w:val="18"/>
          <w:szCs w:val="20"/>
        </w:rPr>
        <w:t xml:space="preserve">                                                 </w:t>
      </w:r>
      <w:r w:rsidR="00F84964" w:rsidRPr="007151F4">
        <w:rPr>
          <w:rFonts w:ascii="Geomanist" w:hAnsi="Geomanist"/>
          <w:b/>
          <w:sz w:val="18"/>
          <w:szCs w:val="20"/>
        </w:rPr>
        <w:t xml:space="preserve">                 </w:t>
      </w:r>
    </w:p>
    <w:p w14:paraId="4EFD34AB" w14:textId="71FDC319" w:rsidR="00042072" w:rsidRPr="007151F4" w:rsidRDefault="00042072" w:rsidP="00042072">
      <w:pPr>
        <w:spacing w:line="276" w:lineRule="auto"/>
        <w:jc w:val="center"/>
        <w:rPr>
          <w:rFonts w:ascii="Geomanist" w:hAnsi="Geomanist" w:cs="Noto Sans"/>
          <w:b/>
          <w:sz w:val="22"/>
          <w:szCs w:val="20"/>
        </w:rPr>
      </w:pPr>
      <w:r w:rsidRPr="007151F4">
        <w:rPr>
          <w:rFonts w:ascii="Geomanist" w:hAnsi="Geomanist" w:cs="Noto Sans"/>
          <w:b/>
          <w:sz w:val="22"/>
          <w:szCs w:val="20"/>
        </w:rPr>
        <w:t>ANEXO TECNICO PARA LA “ADQUISICIÓN DE BIENES DE ARTÍCULOS Y QUÍMICOS DE ASEO PARA EL EJERCICIO 2025”</w:t>
      </w:r>
    </w:p>
    <w:p w14:paraId="43F05969" w14:textId="55EF0E1C" w:rsidR="003876E8" w:rsidRPr="007151F4" w:rsidRDefault="003876E8" w:rsidP="004D2D36">
      <w:pPr>
        <w:spacing w:after="200" w:line="276" w:lineRule="auto"/>
        <w:rPr>
          <w:rFonts w:ascii="Geomanist" w:hAnsi="Geomanist"/>
          <w:b/>
          <w:sz w:val="18"/>
          <w:szCs w:val="20"/>
        </w:rPr>
      </w:pPr>
    </w:p>
    <w:p w14:paraId="7B3470B1" w14:textId="4E421A57" w:rsidR="003603D5" w:rsidRPr="007151F4" w:rsidRDefault="003603D5" w:rsidP="003603D5">
      <w:pPr>
        <w:spacing w:after="200" w:line="276" w:lineRule="auto"/>
        <w:jc w:val="both"/>
        <w:rPr>
          <w:rFonts w:ascii="Geomanist" w:hAnsi="Geomanist"/>
          <w:sz w:val="20"/>
          <w:szCs w:val="20"/>
        </w:rPr>
      </w:pPr>
      <w:r w:rsidRPr="007151F4">
        <w:rPr>
          <w:rFonts w:ascii="Geomanist" w:hAnsi="Geomanist"/>
          <w:sz w:val="20"/>
          <w:szCs w:val="20"/>
        </w:rPr>
        <w:t xml:space="preserve">Para la </w:t>
      </w:r>
      <w:r w:rsidR="006D5C63" w:rsidRPr="007151F4">
        <w:rPr>
          <w:rFonts w:ascii="Geomanist" w:hAnsi="Geomanist"/>
          <w:sz w:val="20"/>
          <w:szCs w:val="20"/>
        </w:rPr>
        <w:t>ADQUISICIÓN DE BIENES DE ARTÍCULOS Y QUÍMICOS DE ASEO PARA EL EJERCICIO 2025</w:t>
      </w:r>
      <w:r w:rsidRPr="007151F4">
        <w:rPr>
          <w:rFonts w:ascii="Geomanist" w:hAnsi="Geomanist"/>
          <w:sz w:val="20"/>
          <w:szCs w:val="20"/>
        </w:rPr>
        <w:t>, contenido en el Catálogo General de Artículos del Instituto Mexicano del Seguro Social, vigente, mismo que se detalla en el</w:t>
      </w:r>
      <w:r w:rsidRPr="007151F4">
        <w:rPr>
          <w:rFonts w:ascii="Geomanist" w:eastAsia="Calibri" w:hAnsi="Geomanist" w:cs="Arial"/>
          <w:sz w:val="20"/>
          <w:szCs w:val="20"/>
          <w:lang w:val="es-MX"/>
        </w:rPr>
        <w:t xml:space="preserve"> </w:t>
      </w:r>
      <w:r w:rsidRPr="007151F4">
        <w:rPr>
          <w:rFonts w:ascii="Geomanist" w:hAnsi="Geomanist"/>
          <w:b/>
          <w:sz w:val="20"/>
          <w:szCs w:val="20"/>
        </w:rPr>
        <w:t>Anexo</w:t>
      </w:r>
      <w:r w:rsidR="006D5C63" w:rsidRPr="007151F4">
        <w:rPr>
          <w:rFonts w:ascii="Geomanist" w:hAnsi="Geomanist"/>
          <w:b/>
          <w:sz w:val="20"/>
          <w:szCs w:val="20"/>
        </w:rPr>
        <w:t xml:space="preserve"> </w:t>
      </w:r>
      <w:r w:rsidR="00AB1900" w:rsidRPr="007151F4">
        <w:rPr>
          <w:rFonts w:ascii="Geomanist" w:hAnsi="Geomanist"/>
          <w:b/>
          <w:sz w:val="20"/>
          <w:szCs w:val="20"/>
        </w:rPr>
        <w:t>4 REQUERIMIENTO</w:t>
      </w:r>
      <w:r w:rsidRPr="007151F4">
        <w:rPr>
          <w:rFonts w:ascii="Geomanist" w:hAnsi="Geomanist"/>
          <w:b/>
          <w:sz w:val="20"/>
          <w:szCs w:val="20"/>
        </w:rPr>
        <w:t>,</w:t>
      </w:r>
      <w:r w:rsidRPr="007151F4">
        <w:rPr>
          <w:rFonts w:ascii="Geomanist" w:eastAsia="Calibri" w:hAnsi="Geomanist" w:cs="Arial"/>
          <w:b/>
          <w:sz w:val="20"/>
          <w:szCs w:val="20"/>
          <w:lang w:val="es-MX"/>
        </w:rPr>
        <w:t xml:space="preserve"> </w:t>
      </w:r>
      <w:r w:rsidRPr="007151F4">
        <w:rPr>
          <w:rFonts w:ascii="Geomanist" w:hAnsi="Geomanist"/>
          <w:sz w:val="20"/>
          <w:szCs w:val="20"/>
        </w:rPr>
        <w:t>respecto a la clave, descripción, presentación y requisito a evaluar por cada una de las partidas.</w:t>
      </w:r>
    </w:p>
    <w:p w14:paraId="25D431EF" w14:textId="77777777" w:rsidR="003603D5" w:rsidRPr="007151F4" w:rsidRDefault="003603D5" w:rsidP="003603D5">
      <w:pPr>
        <w:spacing w:after="200" w:line="276" w:lineRule="auto"/>
        <w:jc w:val="both"/>
        <w:rPr>
          <w:rFonts w:ascii="Geomanist" w:hAnsi="Geomanist"/>
          <w:sz w:val="20"/>
          <w:szCs w:val="20"/>
        </w:rPr>
      </w:pPr>
      <w:r w:rsidRPr="007151F4">
        <w:rPr>
          <w:rFonts w:ascii="Geomanist" w:hAnsi="Geomanist"/>
          <w:sz w:val="20"/>
          <w:szCs w:val="20"/>
        </w:rPr>
        <w:t>Como parte de la cotización que formulen los licitantes en su propuesta dentro del procedimiento de contratación y para acreditar el cumplimiento de los aspectos técnicos se deberá considerar que la evaluación técnica será documental y consistirá en lo siguiente:</w:t>
      </w:r>
    </w:p>
    <w:p w14:paraId="588C6C93" w14:textId="77777777" w:rsidR="003603D5" w:rsidRPr="007151F4" w:rsidRDefault="003603D5" w:rsidP="003603D5">
      <w:pPr>
        <w:spacing w:after="200" w:line="276" w:lineRule="auto"/>
        <w:contextualSpacing/>
        <w:jc w:val="both"/>
        <w:rPr>
          <w:rFonts w:ascii="Geomanist" w:hAnsi="Geomanist"/>
          <w:b/>
          <w:sz w:val="20"/>
          <w:szCs w:val="20"/>
        </w:rPr>
      </w:pPr>
      <w:r w:rsidRPr="007151F4">
        <w:rPr>
          <w:rFonts w:ascii="Geomanist" w:hAnsi="Geomanist"/>
          <w:b/>
          <w:sz w:val="20"/>
          <w:szCs w:val="20"/>
        </w:rPr>
        <w:t>1.- Norma o Especificación Técnica que deben cumplir los bienes. (4.24.3 inciso e) de las POBALINES.</w:t>
      </w:r>
    </w:p>
    <w:p w14:paraId="1E2E1993" w14:textId="77777777" w:rsidR="003603D5" w:rsidRPr="007151F4" w:rsidRDefault="003603D5" w:rsidP="003603D5">
      <w:pPr>
        <w:spacing w:after="200" w:line="276" w:lineRule="auto"/>
        <w:contextualSpacing/>
        <w:jc w:val="both"/>
        <w:rPr>
          <w:rFonts w:ascii="Geomanist" w:eastAsia="Calibri" w:hAnsi="Geomanist" w:cs="Arial"/>
          <w:sz w:val="20"/>
          <w:szCs w:val="20"/>
          <w:lang w:val="es-MX" w:eastAsia="es-ES"/>
        </w:rPr>
      </w:pPr>
    </w:p>
    <w:p w14:paraId="6997CB88" w14:textId="76B83E6E" w:rsidR="003603D5" w:rsidRPr="007151F4" w:rsidRDefault="003603D5" w:rsidP="003603D5">
      <w:pPr>
        <w:spacing w:after="200" w:line="276" w:lineRule="auto"/>
        <w:jc w:val="both"/>
        <w:rPr>
          <w:rFonts w:ascii="Geomanist" w:hAnsi="Geomanist"/>
          <w:sz w:val="20"/>
          <w:szCs w:val="20"/>
        </w:rPr>
      </w:pPr>
      <w:r w:rsidRPr="007151F4">
        <w:rPr>
          <w:rFonts w:ascii="Geomanist" w:hAnsi="Geomanist"/>
          <w:sz w:val="20"/>
          <w:szCs w:val="20"/>
        </w:rPr>
        <w:t xml:space="preserve">De conformidad con lo establecido en la Ley de Infraestructura de la Calidad, los licitantes deberán garantizar que los bienes que </w:t>
      </w:r>
      <w:r w:rsidR="007F768E" w:rsidRPr="007151F4">
        <w:rPr>
          <w:rFonts w:ascii="Geomanist" w:hAnsi="Geomanist"/>
          <w:sz w:val="20"/>
          <w:szCs w:val="20"/>
        </w:rPr>
        <w:t>ofertan</w:t>
      </w:r>
      <w:r w:rsidRPr="007151F4">
        <w:rPr>
          <w:rFonts w:ascii="Geomanist" w:hAnsi="Geomanist"/>
          <w:sz w:val="20"/>
          <w:szCs w:val="20"/>
        </w:rPr>
        <w:t xml:space="preserve"> cumplen con </w:t>
      </w:r>
      <w:r w:rsidR="00024133" w:rsidRPr="007151F4">
        <w:rPr>
          <w:rFonts w:ascii="Geomanist" w:hAnsi="Geomanist"/>
          <w:sz w:val="20"/>
          <w:szCs w:val="20"/>
        </w:rPr>
        <w:t>las Normas</w:t>
      </w:r>
      <w:r w:rsidRPr="007151F4">
        <w:rPr>
          <w:rFonts w:ascii="Geomanist" w:hAnsi="Geomanist"/>
          <w:sz w:val="20"/>
          <w:szCs w:val="20"/>
        </w:rPr>
        <w:t xml:space="preserve"> Oficiales Mexicanas y Normas Mexicanas que se indican en el</w:t>
      </w:r>
      <w:r w:rsidRPr="007151F4">
        <w:rPr>
          <w:rFonts w:ascii="Geomanist" w:eastAsia="Calibri" w:hAnsi="Geomanist" w:cs="Arial"/>
          <w:sz w:val="20"/>
          <w:szCs w:val="20"/>
          <w:lang w:val="es-MX" w:eastAsia="es-ES"/>
        </w:rPr>
        <w:t xml:space="preserve"> </w:t>
      </w:r>
      <w:r w:rsidR="00AB1900" w:rsidRPr="007151F4">
        <w:rPr>
          <w:rFonts w:ascii="Geomanist" w:hAnsi="Geomanist"/>
          <w:b/>
          <w:sz w:val="20"/>
          <w:szCs w:val="20"/>
        </w:rPr>
        <w:t>Anexo 4 REQUERIMIENTO</w:t>
      </w:r>
      <w:r w:rsidRPr="007151F4">
        <w:rPr>
          <w:rFonts w:ascii="Geomanist" w:hAnsi="Geomanist"/>
          <w:b/>
          <w:sz w:val="20"/>
          <w:szCs w:val="20"/>
        </w:rPr>
        <w:t xml:space="preserve">. </w:t>
      </w:r>
      <w:r w:rsidR="007F768E" w:rsidRPr="007151F4">
        <w:rPr>
          <w:rFonts w:ascii="Geomanist" w:eastAsia="Calibri" w:hAnsi="Geomanist" w:cs="Arial"/>
          <w:sz w:val="20"/>
          <w:szCs w:val="20"/>
          <w:lang w:val="es-MX" w:eastAsia="es-ES"/>
        </w:rPr>
        <w:t xml:space="preserve"> </w:t>
      </w:r>
      <w:r w:rsidRPr="007151F4">
        <w:rPr>
          <w:rFonts w:ascii="Geomanist" w:hAnsi="Geomanist"/>
          <w:sz w:val="20"/>
          <w:szCs w:val="20"/>
        </w:rPr>
        <w:t>Dicho Anexo establece el requisito de evaluación para cada una de las partidas según corresponda, de conformidad a lo siguiente:</w:t>
      </w:r>
    </w:p>
    <w:p w14:paraId="7F6803E8" w14:textId="77777777" w:rsidR="003603D5" w:rsidRPr="007151F4" w:rsidRDefault="003603D5" w:rsidP="003603D5">
      <w:pPr>
        <w:spacing w:after="200" w:line="276" w:lineRule="auto"/>
        <w:jc w:val="both"/>
        <w:rPr>
          <w:rFonts w:ascii="Geomanist" w:hAnsi="Geomanist"/>
          <w:sz w:val="20"/>
          <w:szCs w:val="20"/>
        </w:rPr>
      </w:pPr>
      <w:r w:rsidRPr="007151F4">
        <w:rPr>
          <w:rFonts w:ascii="Geomanist" w:hAnsi="Geomanist"/>
          <w:sz w:val="20"/>
          <w:szCs w:val="20"/>
        </w:rPr>
        <w:t>Según sea el caso, los licitantes deberán entregar la siguiente documentación:</w:t>
      </w:r>
    </w:p>
    <w:p w14:paraId="546AE3E0" w14:textId="77777777" w:rsidR="003603D5" w:rsidRPr="007151F4" w:rsidRDefault="003603D5" w:rsidP="00C31453">
      <w:pPr>
        <w:numPr>
          <w:ilvl w:val="0"/>
          <w:numId w:val="4"/>
        </w:numPr>
        <w:tabs>
          <w:tab w:val="left" w:pos="284"/>
          <w:tab w:val="left" w:pos="6663"/>
        </w:tabs>
        <w:spacing w:after="200" w:line="276" w:lineRule="auto"/>
        <w:ind w:left="284" w:hanging="284"/>
        <w:contextualSpacing/>
        <w:jc w:val="both"/>
        <w:rPr>
          <w:rFonts w:ascii="Geomanist" w:hAnsi="Geomanist"/>
          <w:sz w:val="20"/>
          <w:szCs w:val="20"/>
        </w:rPr>
      </w:pPr>
      <w:r w:rsidRPr="007151F4">
        <w:rPr>
          <w:rFonts w:ascii="Geomanist" w:hAnsi="Geomanist"/>
          <w:b/>
          <w:sz w:val="20"/>
          <w:szCs w:val="20"/>
        </w:rPr>
        <w:t>Todos los licitantes</w:t>
      </w:r>
      <w:r w:rsidRPr="007151F4">
        <w:rPr>
          <w:rFonts w:ascii="Geomanist" w:eastAsia="Calibri" w:hAnsi="Geomanist" w:cs="Times New Roman"/>
          <w:sz w:val="20"/>
          <w:szCs w:val="20"/>
          <w:lang w:val="es-MX" w:eastAsia="es-ES"/>
        </w:rPr>
        <w:t xml:space="preserve"> </w:t>
      </w:r>
      <w:r w:rsidRPr="007151F4">
        <w:rPr>
          <w:rFonts w:ascii="Geomanist" w:hAnsi="Geomanist"/>
          <w:sz w:val="20"/>
          <w:szCs w:val="20"/>
        </w:rPr>
        <w:t>deberán presentar un escrito el cual señale que cuando el Instituto Mexicano del Seguro Social lo determine procedente, se compromete a realizar el canje de los bienes que presenten vicios ocultos y/o que no cuenten con los requisitos de calidad necesarios para su uso.</w:t>
      </w:r>
    </w:p>
    <w:p w14:paraId="23B4E750" w14:textId="77777777" w:rsidR="003603D5" w:rsidRPr="007151F4" w:rsidRDefault="003603D5" w:rsidP="003603D5">
      <w:pPr>
        <w:ind w:left="720"/>
        <w:contextualSpacing/>
        <w:jc w:val="both"/>
        <w:rPr>
          <w:rFonts w:ascii="Geomanist" w:eastAsia="Calibri" w:hAnsi="Geomanist" w:cs="Times New Roman"/>
          <w:sz w:val="20"/>
          <w:szCs w:val="20"/>
          <w:lang w:val="es-MX" w:eastAsia="es-ES"/>
        </w:rPr>
      </w:pPr>
    </w:p>
    <w:p w14:paraId="6E1AA0DB" w14:textId="52218847" w:rsidR="003603D5" w:rsidRPr="007151F4" w:rsidRDefault="003603D5" w:rsidP="003876E8">
      <w:pPr>
        <w:numPr>
          <w:ilvl w:val="0"/>
          <w:numId w:val="4"/>
        </w:numPr>
        <w:tabs>
          <w:tab w:val="left" w:pos="284"/>
          <w:tab w:val="left" w:pos="6663"/>
        </w:tabs>
        <w:spacing w:after="200" w:line="276" w:lineRule="auto"/>
        <w:ind w:left="284" w:hanging="284"/>
        <w:contextualSpacing/>
        <w:jc w:val="both"/>
        <w:rPr>
          <w:rFonts w:ascii="Geomanist" w:eastAsia="Calibri" w:hAnsi="Geomanist" w:cs="Arial"/>
          <w:sz w:val="20"/>
          <w:szCs w:val="20"/>
          <w:lang w:val="es-MX"/>
        </w:rPr>
      </w:pPr>
      <w:r w:rsidRPr="007151F4">
        <w:rPr>
          <w:rFonts w:ascii="Geomanist" w:hAnsi="Geomanist"/>
          <w:b/>
          <w:sz w:val="20"/>
          <w:szCs w:val="20"/>
          <w:u w:val="single"/>
        </w:rPr>
        <w:t>Todos los licitantes</w:t>
      </w:r>
      <w:r w:rsidRPr="007151F4">
        <w:rPr>
          <w:rFonts w:ascii="Geomanist" w:eastAsia="Calibri" w:hAnsi="Geomanist" w:cs="Times New Roman"/>
          <w:sz w:val="20"/>
          <w:szCs w:val="20"/>
          <w:lang w:val="es-MX" w:eastAsia="es-ES"/>
        </w:rPr>
        <w:t xml:space="preserve"> </w:t>
      </w:r>
      <w:r w:rsidRPr="007151F4">
        <w:rPr>
          <w:rFonts w:ascii="Geomanist" w:hAnsi="Geomanist"/>
          <w:sz w:val="20"/>
          <w:szCs w:val="20"/>
        </w:rPr>
        <w:t>deberán presentar un escrito que indique que las descripciones y presentaciones ofertadas se apegan de manera estricta a lo señalado en el</w:t>
      </w:r>
      <w:r w:rsidRPr="007151F4">
        <w:rPr>
          <w:rFonts w:ascii="Geomanist" w:eastAsia="Calibri" w:hAnsi="Geomanist" w:cs="Times New Roman"/>
          <w:sz w:val="20"/>
          <w:szCs w:val="20"/>
          <w:lang w:val="es-MX" w:eastAsia="es-ES"/>
        </w:rPr>
        <w:t xml:space="preserve"> </w:t>
      </w:r>
      <w:r w:rsidR="00AB1900" w:rsidRPr="007151F4">
        <w:rPr>
          <w:rFonts w:ascii="Geomanist" w:hAnsi="Geomanist"/>
          <w:b/>
          <w:sz w:val="20"/>
          <w:szCs w:val="20"/>
        </w:rPr>
        <w:t>Anexo 4 REQUERIMIENTO</w:t>
      </w:r>
      <w:r w:rsidRPr="007151F4">
        <w:rPr>
          <w:rFonts w:ascii="Geomanist" w:eastAsia="Calibri" w:hAnsi="Geomanist" w:cs="Arial"/>
          <w:sz w:val="20"/>
          <w:szCs w:val="20"/>
          <w:lang w:val="es-MX" w:eastAsia="es-ES"/>
        </w:rPr>
        <w:t>.</w:t>
      </w:r>
    </w:p>
    <w:p w14:paraId="0E99E5A0" w14:textId="77777777" w:rsidR="003603D5" w:rsidRPr="007151F4" w:rsidRDefault="003603D5" w:rsidP="003603D5">
      <w:pPr>
        <w:spacing w:after="200" w:line="276" w:lineRule="auto"/>
        <w:ind w:left="720"/>
        <w:contextualSpacing/>
        <w:rPr>
          <w:rFonts w:ascii="Geomanist" w:eastAsia="Calibri" w:hAnsi="Geomanist" w:cs="Arial"/>
          <w:sz w:val="20"/>
          <w:szCs w:val="20"/>
          <w:lang w:val="es-MX"/>
        </w:rPr>
      </w:pPr>
    </w:p>
    <w:p w14:paraId="410AEC8A" w14:textId="329326B3" w:rsidR="003603D5" w:rsidRPr="007151F4" w:rsidRDefault="003603D5" w:rsidP="00C31453">
      <w:pPr>
        <w:numPr>
          <w:ilvl w:val="0"/>
          <w:numId w:val="4"/>
        </w:numPr>
        <w:tabs>
          <w:tab w:val="left" w:pos="284"/>
        </w:tabs>
        <w:spacing w:after="200" w:line="276" w:lineRule="auto"/>
        <w:ind w:left="284" w:hanging="284"/>
        <w:contextualSpacing/>
        <w:jc w:val="both"/>
        <w:rPr>
          <w:rFonts w:ascii="Geomanist" w:hAnsi="Geomanist"/>
          <w:sz w:val="20"/>
          <w:szCs w:val="20"/>
        </w:rPr>
      </w:pPr>
      <w:r w:rsidRPr="007151F4">
        <w:rPr>
          <w:rFonts w:ascii="Geomanist" w:hAnsi="Geomanist"/>
          <w:sz w:val="20"/>
          <w:szCs w:val="20"/>
        </w:rPr>
        <w:t xml:space="preserve">En el caso de que el licitante sea distribuidor, deberá acreditarlo mediante carta </w:t>
      </w:r>
      <w:r w:rsidR="007F768E" w:rsidRPr="007151F4">
        <w:rPr>
          <w:rFonts w:ascii="Geomanist" w:hAnsi="Geomanist"/>
          <w:sz w:val="20"/>
          <w:szCs w:val="20"/>
        </w:rPr>
        <w:t xml:space="preserve">recomendación </w:t>
      </w:r>
      <w:r w:rsidRPr="007151F4">
        <w:rPr>
          <w:rFonts w:ascii="Geomanist" w:hAnsi="Geomanist"/>
          <w:sz w:val="20"/>
          <w:szCs w:val="20"/>
        </w:rPr>
        <w:t>expedida por el fabricante.</w:t>
      </w:r>
    </w:p>
    <w:p w14:paraId="5B213390" w14:textId="77777777" w:rsidR="003603D5" w:rsidRPr="007151F4" w:rsidRDefault="003603D5" w:rsidP="003603D5">
      <w:pPr>
        <w:contextualSpacing/>
        <w:jc w:val="both"/>
        <w:rPr>
          <w:rFonts w:ascii="Geomanist" w:eastAsia="Calibri" w:hAnsi="Geomanist" w:cs="Times New Roman"/>
          <w:b/>
          <w:sz w:val="20"/>
          <w:szCs w:val="20"/>
        </w:rPr>
      </w:pPr>
    </w:p>
    <w:p w14:paraId="68BBC4D1" w14:textId="055F1974" w:rsidR="003876E8" w:rsidRPr="007151F4" w:rsidRDefault="003603D5" w:rsidP="003876E8">
      <w:pPr>
        <w:numPr>
          <w:ilvl w:val="0"/>
          <w:numId w:val="4"/>
        </w:numPr>
        <w:tabs>
          <w:tab w:val="left" w:pos="284"/>
        </w:tabs>
        <w:spacing w:after="200" w:line="276" w:lineRule="auto"/>
        <w:ind w:left="284" w:hanging="284"/>
        <w:contextualSpacing/>
        <w:jc w:val="both"/>
        <w:rPr>
          <w:rFonts w:ascii="Geomanist" w:hAnsi="Geomanist"/>
          <w:sz w:val="20"/>
          <w:szCs w:val="20"/>
        </w:rPr>
      </w:pPr>
      <w:r w:rsidRPr="007151F4">
        <w:rPr>
          <w:rFonts w:ascii="Geomanist" w:hAnsi="Geomanist"/>
          <w:sz w:val="20"/>
          <w:szCs w:val="20"/>
        </w:rPr>
        <w:t xml:space="preserve">Escrito en el cual por su propio derecho o a través de su representante legal, garantice que el periodo de caducidad de los bienes que entregará no podrá ser menor a 12 (doce) meses, contados a partir de la fecha de entrega de éstos. </w:t>
      </w:r>
    </w:p>
    <w:p w14:paraId="3E1E4736" w14:textId="77777777" w:rsidR="00486CEB" w:rsidRPr="007151F4" w:rsidRDefault="00486CEB" w:rsidP="003603D5">
      <w:pPr>
        <w:contextualSpacing/>
        <w:jc w:val="both"/>
        <w:rPr>
          <w:rFonts w:ascii="Geomanist" w:eastAsia="Calibri" w:hAnsi="Geomanist" w:cs="Times New Roman"/>
          <w:sz w:val="20"/>
          <w:szCs w:val="20"/>
          <w:lang w:val="es-MX"/>
        </w:rPr>
      </w:pPr>
    </w:p>
    <w:p w14:paraId="7AE07B0E" w14:textId="4100287E" w:rsidR="003603D5" w:rsidRPr="007151F4" w:rsidRDefault="003603D5" w:rsidP="00F84964">
      <w:pPr>
        <w:tabs>
          <w:tab w:val="left" w:pos="284"/>
        </w:tabs>
        <w:spacing w:after="200" w:line="276" w:lineRule="auto"/>
        <w:contextualSpacing/>
        <w:jc w:val="both"/>
        <w:rPr>
          <w:rFonts w:ascii="Geomanist" w:hAnsi="Geomanist"/>
          <w:sz w:val="20"/>
          <w:szCs w:val="20"/>
        </w:rPr>
      </w:pPr>
      <w:r w:rsidRPr="007151F4">
        <w:rPr>
          <w:rFonts w:ascii="Geomanist" w:hAnsi="Geomanist"/>
          <w:sz w:val="20"/>
          <w:szCs w:val="20"/>
        </w:rPr>
        <w:t>Como caso excepcional, la caducidad garantizada será de 90 días a partir de la fecha de entrega para los productos químicos con clave:</w:t>
      </w:r>
    </w:p>
    <w:p w14:paraId="10DDBE2D" w14:textId="77777777" w:rsidR="003603D5" w:rsidRPr="007151F4" w:rsidRDefault="003603D5" w:rsidP="003603D5">
      <w:pPr>
        <w:tabs>
          <w:tab w:val="left" w:pos="3775"/>
        </w:tabs>
        <w:ind w:left="720"/>
        <w:contextualSpacing/>
        <w:jc w:val="both"/>
        <w:rPr>
          <w:rFonts w:ascii="Geomanist" w:eastAsia="Calibri" w:hAnsi="Geomanist" w:cs="Times New Roman"/>
          <w:sz w:val="20"/>
          <w:szCs w:val="20"/>
          <w:lang w:val="es-MX"/>
        </w:rPr>
      </w:pPr>
    </w:p>
    <w:p w14:paraId="25D58204" w14:textId="77777777" w:rsidR="003603D5" w:rsidRPr="007151F4" w:rsidRDefault="003603D5" w:rsidP="003603D5">
      <w:pPr>
        <w:numPr>
          <w:ilvl w:val="0"/>
          <w:numId w:val="5"/>
        </w:numPr>
        <w:spacing w:after="200" w:line="276" w:lineRule="auto"/>
        <w:ind w:left="284" w:hanging="284"/>
        <w:contextualSpacing/>
        <w:jc w:val="both"/>
        <w:rPr>
          <w:rFonts w:ascii="Geomanist" w:hAnsi="Geomanist"/>
          <w:sz w:val="20"/>
          <w:szCs w:val="20"/>
        </w:rPr>
      </w:pPr>
      <w:r w:rsidRPr="007151F4">
        <w:rPr>
          <w:rFonts w:ascii="Geomanist" w:hAnsi="Geomanist"/>
          <w:sz w:val="20"/>
          <w:szCs w:val="20"/>
        </w:rPr>
        <w:t>350 107 0050 06 01, contenido de cloro activo al 6.0% mínimo, almacenado a una temperatura de 27°C promedio máxima, lo anterior con base en la tabla de especificaciones de la Norma Mexicana NMX-K-620-NORMEX-2008.</w:t>
      </w:r>
    </w:p>
    <w:p w14:paraId="4069064C" w14:textId="77777777" w:rsidR="003603D5" w:rsidRPr="007151F4" w:rsidRDefault="003603D5" w:rsidP="003603D5">
      <w:pPr>
        <w:spacing w:after="200" w:line="276" w:lineRule="auto"/>
        <w:ind w:left="720"/>
        <w:contextualSpacing/>
        <w:jc w:val="both"/>
        <w:rPr>
          <w:rFonts w:ascii="Geomanist" w:eastAsia="Calibri" w:hAnsi="Geomanist" w:cs="Times New Roman"/>
          <w:sz w:val="20"/>
          <w:szCs w:val="20"/>
          <w:lang w:val="es-MX"/>
        </w:rPr>
      </w:pPr>
    </w:p>
    <w:p w14:paraId="18237125" w14:textId="77777777" w:rsidR="003603D5" w:rsidRPr="007151F4" w:rsidRDefault="003603D5" w:rsidP="003603D5">
      <w:pPr>
        <w:numPr>
          <w:ilvl w:val="0"/>
          <w:numId w:val="4"/>
        </w:numPr>
        <w:spacing w:after="200" w:line="276" w:lineRule="auto"/>
        <w:ind w:left="284" w:hanging="284"/>
        <w:contextualSpacing/>
        <w:jc w:val="both"/>
        <w:rPr>
          <w:rFonts w:ascii="Geomanist" w:eastAsia="Calibri" w:hAnsi="Geomanist" w:cs="Times New Roman"/>
          <w:sz w:val="20"/>
          <w:szCs w:val="20"/>
          <w:lang w:val="es-MX"/>
        </w:rPr>
      </w:pPr>
      <w:r w:rsidRPr="007151F4">
        <w:rPr>
          <w:rFonts w:ascii="Geomanist" w:hAnsi="Geomanist"/>
          <w:sz w:val="20"/>
          <w:szCs w:val="20"/>
        </w:rPr>
        <w:lastRenderedPageBreak/>
        <w:t>Los proveedores podrán entregar bienes con una caducidad mínima hasta de 9 (nueve) meses, siempre y cuando entreguen una carta compromiso, en la cual se obliguen a canjear los bienes, dentro de un plazo de 10 días hábiles, contados a partir del día siguiente a que sea notificada la solicitud de canje, sin costo alguno para el Instituto, de aquellos bienes que no sean consumidos dentro de su vida útil, identificando en dicha carta, la(s) clave(s), con su descripción, fabricante y número de lote</w:t>
      </w:r>
      <w:r w:rsidRPr="007151F4">
        <w:rPr>
          <w:rFonts w:ascii="Geomanist" w:eastAsia="Calibri" w:hAnsi="Geomanist" w:cs="Times New Roman"/>
          <w:sz w:val="20"/>
          <w:szCs w:val="20"/>
          <w:lang w:val="es-MX"/>
        </w:rPr>
        <w:t>.</w:t>
      </w:r>
    </w:p>
    <w:p w14:paraId="22B8629F" w14:textId="77777777" w:rsidR="003603D5" w:rsidRPr="007151F4" w:rsidRDefault="003603D5" w:rsidP="003603D5">
      <w:pPr>
        <w:ind w:left="284"/>
        <w:contextualSpacing/>
        <w:jc w:val="both"/>
        <w:rPr>
          <w:rFonts w:ascii="Geomanist" w:eastAsia="Calibri" w:hAnsi="Geomanist" w:cs="Times New Roman"/>
          <w:sz w:val="20"/>
          <w:szCs w:val="20"/>
          <w:lang w:val="es-MX"/>
        </w:rPr>
      </w:pPr>
    </w:p>
    <w:p w14:paraId="16AC40DC" w14:textId="77777777" w:rsidR="003603D5" w:rsidRPr="007151F4" w:rsidRDefault="003603D5" w:rsidP="003603D5">
      <w:pPr>
        <w:numPr>
          <w:ilvl w:val="0"/>
          <w:numId w:val="4"/>
        </w:numPr>
        <w:spacing w:after="200" w:line="276" w:lineRule="auto"/>
        <w:ind w:left="284" w:hanging="284"/>
        <w:contextualSpacing/>
        <w:jc w:val="both"/>
        <w:rPr>
          <w:rFonts w:ascii="Geomanist" w:hAnsi="Geomanist"/>
          <w:b/>
          <w:sz w:val="20"/>
          <w:szCs w:val="20"/>
        </w:rPr>
      </w:pPr>
      <w:r w:rsidRPr="007151F4">
        <w:rPr>
          <w:rFonts w:ascii="Geomanist" w:hAnsi="Geomanist"/>
          <w:b/>
          <w:sz w:val="20"/>
          <w:szCs w:val="20"/>
        </w:rPr>
        <w:t>Partidas con solicitud de Cumplimiento de Norma Mexicana:</w:t>
      </w:r>
    </w:p>
    <w:p w14:paraId="6940FC41" w14:textId="77777777" w:rsidR="003603D5" w:rsidRPr="007151F4" w:rsidRDefault="003603D5" w:rsidP="003603D5">
      <w:pPr>
        <w:jc w:val="both"/>
        <w:rPr>
          <w:rFonts w:ascii="Geomanist" w:eastAsia="Calibri" w:hAnsi="Geomanist" w:cs="Arial"/>
          <w:sz w:val="20"/>
          <w:szCs w:val="20"/>
          <w:lang w:val="es-MX"/>
        </w:rPr>
      </w:pPr>
    </w:p>
    <w:p w14:paraId="7D1A3CA0" w14:textId="77777777" w:rsidR="003603D5" w:rsidRPr="007151F4" w:rsidRDefault="003603D5" w:rsidP="003603D5">
      <w:pPr>
        <w:spacing w:after="200" w:line="276" w:lineRule="auto"/>
        <w:jc w:val="both"/>
        <w:rPr>
          <w:rFonts w:ascii="Geomanist" w:hAnsi="Geomanist"/>
          <w:sz w:val="20"/>
          <w:szCs w:val="20"/>
        </w:rPr>
      </w:pPr>
      <w:r w:rsidRPr="007151F4">
        <w:rPr>
          <w:rFonts w:ascii="Geomanist" w:hAnsi="Geomanist"/>
          <w:sz w:val="20"/>
          <w:szCs w:val="20"/>
        </w:rPr>
        <w:t>Certificado(s) de cumplimiento con la Norma Mexicana NMX (Certificado de Producto), considerando lo siguiente:</w:t>
      </w:r>
    </w:p>
    <w:p w14:paraId="7294BF5B" w14:textId="77777777" w:rsidR="003603D5" w:rsidRPr="007151F4" w:rsidRDefault="003603D5" w:rsidP="003603D5">
      <w:pPr>
        <w:numPr>
          <w:ilvl w:val="0"/>
          <w:numId w:val="6"/>
        </w:numPr>
        <w:spacing w:after="160" w:line="259" w:lineRule="auto"/>
        <w:ind w:left="284" w:hanging="284"/>
        <w:contextualSpacing/>
        <w:jc w:val="both"/>
        <w:rPr>
          <w:rFonts w:ascii="Geomanist" w:hAnsi="Geomanist"/>
          <w:b/>
          <w:sz w:val="20"/>
          <w:szCs w:val="20"/>
          <w:u w:val="single"/>
        </w:rPr>
      </w:pPr>
      <w:r w:rsidRPr="007151F4">
        <w:rPr>
          <w:rFonts w:ascii="Geomanist" w:hAnsi="Geomanist"/>
          <w:b/>
          <w:sz w:val="20"/>
          <w:szCs w:val="20"/>
          <w:u w:val="single"/>
        </w:rPr>
        <w:t>Encontrarse vigente(s) a la fecha del acto de presentación y apertura de proposiciones hasta el término de la vigencia del contrato.</w:t>
      </w:r>
    </w:p>
    <w:p w14:paraId="23D966E6" w14:textId="77777777" w:rsidR="00486CEB" w:rsidRPr="007151F4" w:rsidRDefault="00486CEB" w:rsidP="00486CEB">
      <w:pPr>
        <w:spacing w:after="160" w:line="259" w:lineRule="auto"/>
        <w:ind w:left="284"/>
        <w:contextualSpacing/>
        <w:jc w:val="both"/>
        <w:rPr>
          <w:rFonts w:ascii="Geomanist" w:eastAsia="Calibri" w:hAnsi="Geomanist" w:cs="Arial"/>
          <w:sz w:val="20"/>
          <w:szCs w:val="20"/>
          <w:lang w:val="es-MX"/>
        </w:rPr>
      </w:pPr>
    </w:p>
    <w:p w14:paraId="4F7E025D" w14:textId="77777777" w:rsidR="003603D5" w:rsidRPr="007151F4" w:rsidRDefault="003603D5" w:rsidP="003603D5">
      <w:pPr>
        <w:numPr>
          <w:ilvl w:val="0"/>
          <w:numId w:val="6"/>
        </w:numPr>
        <w:spacing w:after="160" w:line="259" w:lineRule="auto"/>
        <w:ind w:left="284" w:hanging="284"/>
        <w:contextualSpacing/>
        <w:jc w:val="both"/>
        <w:rPr>
          <w:rFonts w:ascii="Geomanist" w:hAnsi="Geomanist"/>
          <w:sz w:val="20"/>
          <w:szCs w:val="20"/>
        </w:rPr>
      </w:pPr>
      <w:r w:rsidRPr="007151F4">
        <w:rPr>
          <w:rFonts w:ascii="Geomanist" w:hAnsi="Geomanist"/>
          <w:sz w:val="20"/>
          <w:szCs w:val="20"/>
        </w:rPr>
        <w:t>Expedido por un organismo certificador acreditado: Sociedad Mexicana de Normalización y Certificación S.C. (NORMEX), Instituto Mexicano de Normalización y Certificación (IMNC) y Centro de Normalización y Certificación de Productos (CNCP)</w:t>
      </w:r>
    </w:p>
    <w:p w14:paraId="21D3E2D0" w14:textId="77777777" w:rsidR="00C31453" w:rsidRPr="007151F4" w:rsidRDefault="00C31453" w:rsidP="00C31453">
      <w:pPr>
        <w:spacing w:after="160" w:line="259" w:lineRule="auto"/>
        <w:ind w:left="284"/>
        <w:contextualSpacing/>
        <w:jc w:val="both"/>
        <w:rPr>
          <w:rFonts w:ascii="Geomanist" w:eastAsia="Calibri" w:hAnsi="Geomanist" w:cs="Arial"/>
          <w:sz w:val="20"/>
          <w:szCs w:val="20"/>
          <w:lang w:val="es-MX"/>
        </w:rPr>
      </w:pPr>
    </w:p>
    <w:p w14:paraId="302D90D0" w14:textId="6FB389BF" w:rsidR="003603D5" w:rsidRPr="007151F4" w:rsidRDefault="003603D5" w:rsidP="003603D5">
      <w:pPr>
        <w:spacing w:after="200" w:line="276" w:lineRule="auto"/>
        <w:jc w:val="both"/>
        <w:rPr>
          <w:rFonts w:ascii="Geomanist" w:hAnsi="Geomanist"/>
          <w:b/>
          <w:sz w:val="20"/>
          <w:szCs w:val="20"/>
          <w:u w:val="single"/>
        </w:rPr>
      </w:pPr>
      <w:r w:rsidRPr="007151F4">
        <w:rPr>
          <w:rFonts w:ascii="Geomanist" w:hAnsi="Geomanist"/>
          <w:b/>
          <w:sz w:val="20"/>
          <w:szCs w:val="20"/>
          <w:u w:val="single"/>
        </w:rPr>
        <w:t xml:space="preserve">En los supuestos de renovación de certificado, los licitantes deberán presentar en su propuesta técnica, una carta expedida por el órgano certificador acreditado, en la que señale el estatus de dicha </w:t>
      </w:r>
      <w:r w:rsidR="009227CE" w:rsidRPr="007151F4">
        <w:rPr>
          <w:rFonts w:ascii="Geomanist" w:hAnsi="Geomanist"/>
          <w:b/>
          <w:sz w:val="20"/>
          <w:szCs w:val="20"/>
          <w:u w:val="single"/>
        </w:rPr>
        <w:t>renovación,</w:t>
      </w:r>
      <w:r w:rsidRPr="007151F4">
        <w:rPr>
          <w:rFonts w:ascii="Geomanist" w:hAnsi="Geomanist"/>
          <w:b/>
          <w:sz w:val="20"/>
          <w:szCs w:val="20"/>
          <w:u w:val="single"/>
        </w:rPr>
        <w:t xml:space="preserve"> así como sus causales de atraso.</w:t>
      </w:r>
    </w:p>
    <w:p w14:paraId="5F194C09" w14:textId="379C3474" w:rsidR="003603D5" w:rsidRPr="007151F4" w:rsidRDefault="003603D5" w:rsidP="003603D5">
      <w:pPr>
        <w:spacing w:after="200" w:line="276" w:lineRule="auto"/>
        <w:jc w:val="both"/>
        <w:rPr>
          <w:rFonts w:ascii="Geomanist" w:hAnsi="Geomanist"/>
          <w:b/>
          <w:sz w:val="20"/>
          <w:szCs w:val="20"/>
          <w:u w:val="single"/>
        </w:rPr>
      </w:pPr>
      <w:r w:rsidRPr="007151F4">
        <w:rPr>
          <w:rFonts w:ascii="Geomanist" w:hAnsi="Geomanist"/>
          <w:b/>
          <w:sz w:val="20"/>
          <w:szCs w:val="20"/>
          <w:u w:val="single"/>
        </w:rPr>
        <w:t>La carta deberá ser en hoja membretada del órgano certificador y contener los siguientes datos de dicho órgano certificador: nombre y firma del representante, fecha (no mayor a 30 días naturales anteriores a la presentación de proposiciones), dirección, correo electrónico y teléfonos.</w:t>
      </w:r>
    </w:p>
    <w:p w14:paraId="6886D241" w14:textId="77777777" w:rsidR="003603D5" w:rsidRPr="007151F4" w:rsidRDefault="003603D5" w:rsidP="003603D5">
      <w:pPr>
        <w:numPr>
          <w:ilvl w:val="0"/>
          <w:numId w:val="4"/>
        </w:numPr>
        <w:spacing w:after="200" w:line="276" w:lineRule="auto"/>
        <w:ind w:left="284" w:hanging="284"/>
        <w:contextualSpacing/>
        <w:jc w:val="both"/>
        <w:rPr>
          <w:rFonts w:ascii="Geomanist" w:hAnsi="Geomanist"/>
          <w:b/>
          <w:sz w:val="20"/>
          <w:szCs w:val="20"/>
        </w:rPr>
      </w:pPr>
      <w:r w:rsidRPr="007151F4">
        <w:rPr>
          <w:rFonts w:ascii="Geomanist" w:hAnsi="Geomanist"/>
          <w:b/>
          <w:sz w:val="20"/>
          <w:szCs w:val="20"/>
        </w:rPr>
        <w:t xml:space="preserve">Para partidas con cumplimiento de Normas Oficiales Mexicanas (NOM-189-SSA1/SCFI-2018, NOM-004-SE-2021 y NOM-050-SCFI-2004):  </w:t>
      </w:r>
    </w:p>
    <w:p w14:paraId="044C05BE" w14:textId="77777777" w:rsidR="00C31453" w:rsidRPr="007151F4" w:rsidRDefault="00C31453" w:rsidP="00C31453">
      <w:pPr>
        <w:spacing w:after="200" w:line="276" w:lineRule="auto"/>
        <w:ind w:left="284"/>
        <w:contextualSpacing/>
        <w:jc w:val="both"/>
        <w:rPr>
          <w:rFonts w:ascii="Geomanist" w:eastAsia="Calibri" w:hAnsi="Geomanist" w:cs="Times New Roman"/>
          <w:b/>
          <w:sz w:val="20"/>
          <w:szCs w:val="20"/>
          <w:lang w:val="es-MX"/>
        </w:rPr>
      </w:pPr>
    </w:p>
    <w:p w14:paraId="41364FAA" w14:textId="28A33F3C" w:rsidR="003603D5" w:rsidRPr="007151F4" w:rsidRDefault="003603D5" w:rsidP="003603D5">
      <w:pPr>
        <w:spacing w:after="200" w:line="276" w:lineRule="auto"/>
        <w:jc w:val="both"/>
        <w:rPr>
          <w:rFonts w:ascii="Geomanist" w:hAnsi="Geomanist"/>
          <w:sz w:val="20"/>
          <w:szCs w:val="20"/>
        </w:rPr>
      </w:pPr>
      <w:r w:rsidRPr="007151F4">
        <w:rPr>
          <w:rFonts w:ascii="Geomanist" w:hAnsi="Geomanist"/>
          <w:sz w:val="20"/>
          <w:szCs w:val="20"/>
        </w:rPr>
        <w:t xml:space="preserve">Los licitantes deberán presentar la Constancia de Conformidad de que los bienes ofertados cumplen con las especificaciones de las Normas que se detallan en el </w:t>
      </w:r>
      <w:r w:rsidR="00AB1900" w:rsidRPr="007151F4">
        <w:rPr>
          <w:rFonts w:ascii="Geomanist" w:hAnsi="Geomanist"/>
          <w:b/>
          <w:sz w:val="20"/>
          <w:szCs w:val="20"/>
        </w:rPr>
        <w:t>Anexo 4 REQUERIMIENTO</w:t>
      </w:r>
      <w:r w:rsidR="00C31453" w:rsidRPr="007151F4">
        <w:rPr>
          <w:rFonts w:ascii="Geomanist" w:hAnsi="Geomanist"/>
          <w:b/>
          <w:sz w:val="20"/>
          <w:szCs w:val="20"/>
        </w:rPr>
        <w:t>,</w:t>
      </w:r>
      <w:r w:rsidR="00C31453" w:rsidRPr="007151F4">
        <w:rPr>
          <w:rFonts w:ascii="Geomanist" w:eastAsia="Calibri" w:hAnsi="Geomanist" w:cs="Arial"/>
          <w:b/>
          <w:sz w:val="20"/>
          <w:szCs w:val="20"/>
          <w:lang w:val="es-MX" w:eastAsia="es-ES"/>
        </w:rPr>
        <w:t xml:space="preserve"> </w:t>
      </w:r>
      <w:r w:rsidRPr="007151F4">
        <w:rPr>
          <w:rFonts w:ascii="Geomanist" w:hAnsi="Geomanist"/>
          <w:sz w:val="20"/>
          <w:szCs w:val="20"/>
        </w:rPr>
        <w:t>dicho documento deberá ser expedido por Unidades de Verificación acreditadas por la E.M.A.</w:t>
      </w:r>
    </w:p>
    <w:p w14:paraId="5B9AFE0E" w14:textId="77777777" w:rsidR="003603D5" w:rsidRPr="007151F4" w:rsidRDefault="003603D5" w:rsidP="003603D5">
      <w:pPr>
        <w:numPr>
          <w:ilvl w:val="0"/>
          <w:numId w:val="4"/>
        </w:numPr>
        <w:spacing w:after="200" w:line="276" w:lineRule="auto"/>
        <w:ind w:left="284" w:hanging="284"/>
        <w:contextualSpacing/>
        <w:jc w:val="both"/>
        <w:rPr>
          <w:rFonts w:ascii="Geomanist" w:hAnsi="Geomanist"/>
          <w:b/>
          <w:sz w:val="20"/>
          <w:szCs w:val="20"/>
        </w:rPr>
      </w:pPr>
      <w:r w:rsidRPr="007151F4">
        <w:rPr>
          <w:rFonts w:ascii="Geomanist" w:hAnsi="Geomanist"/>
          <w:b/>
          <w:sz w:val="20"/>
          <w:szCs w:val="20"/>
        </w:rPr>
        <w:t>Partidas con solicitud de Carta de Calidad:</w:t>
      </w:r>
    </w:p>
    <w:p w14:paraId="04378879" w14:textId="1DE499F1" w:rsidR="003603D5" w:rsidRPr="007151F4" w:rsidRDefault="003603D5" w:rsidP="003603D5">
      <w:pPr>
        <w:spacing w:after="200" w:line="276" w:lineRule="auto"/>
        <w:contextualSpacing/>
        <w:jc w:val="both"/>
        <w:rPr>
          <w:rFonts w:ascii="Geomanist" w:hAnsi="Geomanist"/>
          <w:bCs/>
          <w:sz w:val="20"/>
          <w:szCs w:val="20"/>
        </w:rPr>
      </w:pPr>
      <w:r w:rsidRPr="007151F4">
        <w:rPr>
          <w:rFonts w:ascii="Geomanist" w:hAnsi="Geomanist"/>
          <w:sz w:val="20"/>
          <w:szCs w:val="20"/>
        </w:rPr>
        <w:t>Deberá presentar el formato adjunto al presente como</w:t>
      </w:r>
      <w:r w:rsidRPr="007151F4">
        <w:rPr>
          <w:rFonts w:ascii="Geomanist" w:eastAsia="Calibri" w:hAnsi="Geomanist" w:cs="Times New Roman"/>
          <w:sz w:val="20"/>
          <w:szCs w:val="20"/>
          <w:lang w:val="es-MX" w:eastAsia="es-ES"/>
        </w:rPr>
        <w:t xml:space="preserve"> </w:t>
      </w:r>
      <w:r w:rsidR="00AB1900" w:rsidRPr="007151F4">
        <w:rPr>
          <w:rFonts w:ascii="Geomanist" w:hAnsi="Geomanist"/>
          <w:b/>
          <w:sz w:val="20"/>
          <w:szCs w:val="20"/>
        </w:rPr>
        <w:t>Anexo 4 REQUERIMIENTO</w:t>
      </w:r>
      <w:r w:rsidRPr="007151F4">
        <w:rPr>
          <w:rFonts w:ascii="Geomanist" w:hAnsi="Geomanist"/>
          <w:bCs/>
          <w:sz w:val="20"/>
          <w:szCs w:val="20"/>
        </w:rPr>
        <w:t>,</w:t>
      </w:r>
      <w:r w:rsidRPr="007151F4">
        <w:rPr>
          <w:rFonts w:ascii="Geomanist" w:eastAsia="Calibri" w:hAnsi="Geomanist" w:cs="Times New Roman"/>
          <w:sz w:val="20"/>
          <w:szCs w:val="20"/>
          <w:lang w:val="es-MX" w:eastAsia="es-ES"/>
        </w:rPr>
        <w:t xml:space="preserve"> </w:t>
      </w:r>
      <w:r w:rsidRPr="007151F4">
        <w:rPr>
          <w:rFonts w:ascii="Geomanist" w:hAnsi="Geomanist"/>
          <w:bCs/>
          <w:sz w:val="20"/>
          <w:szCs w:val="20"/>
        </w:rPr>
        <w:t>el cual se integra como parte de la convocatoria.</w:t>
      </w:r>
    </w:p>
    <w:p w14:paraId="617B2D79" w14:textId="3124F4FA" w:rsidR="003603D5" w:rsidRPr="007151F4" w:rsidRDefault="003603D5" w:rsidP="003603D5">
      <w:pPr>
        <w:spacing w:after="200" w:line="276" w:lineRule="auto"/>
        <w:jc w:val="both"/>
        <w:rPr>
          <w:rFonts w:ascii="Geomanist" w:hAnsi="Geomanist"/>
          <w:sz w:val="20"/>
          <w:szCs w:val="20"/>
        </w:rPr>
      </w:pPr>
      <w:r w:rsidRPr="007151F4">
        <w:rPr>
          <w:rFonts w:ascii="Geomanist" w:hAnsi="Geomanist"/>
          <w:sz w:val="20"/>
          <w:szCs w:val="20"/>
        </w:rPr>
        <w:t>Los documentos que deberán presentar los licitantes serán en copia simple</w:t>
      </w:r>
      <w:r w:rsidRPr="007151F4">
        <w:rPr>
          <w:rFonts w:ascii="Geomanist" w:eastAsia="Calibri" w:hAnsi="Geomanist" w:cs="Times New Roman"/>
          <w:sz w:val="20"/>
          <w:szCs w:val="20"/>
          <w:lang w:val="es-MX"/>
        </w:rPr>
        <w:t xml:space="preserve"> </w:t>
      </w:r>
      <w:r w:rsidRPr="007151F4">
        <w:rPr>
          <w:rFonts w:ascii="Geomanist" w:hAnsi="Geomanist"/>
          <w:b/>
          <w:sz w:val="20"/>
          <w:szCs w:val="20"/>
          <w:u w:val="single"/>
        </w:rPr>
        <w:t>legible por ambos lados</w:t>
      </w:r>
      <w:r w:rsidRPr="007151F4">
        <w:rPr>
          <w:rFonts w:ascii="Geomanist" w:eastAsia="Calibri" w:hAnsi="Geomanist" w:cs="Times New Roman"/>
          <w:sz w:val="20"/>
          <w:szCs w:val="20"/>
          <w:lang w:val="es-MX"/>
        </w:rPr>
        <w:t xml:space="preserve">, </w:t>
      </w:r>
      <w:r w:rsidRPr="007151F4">
        <w:rPr>
          <w:rFonts w:ascii="Geomanist" w:hAnsi="Geomanist"/>
          <w:sz w:val="20"/>
          <w:szCs w:val="20"/>
        </w:rPr>
        <w:t xml:space="preserve">que acrediten el cumplimiento de las Normas Oficiales Mexicanas y Normas Mexicanas (Anexos - Prórroga) según corresponda. </w:t>
      </w:r>
    </w:p>
    <w:p w14:paraId="4D8C588B" w14:textId="222C4A98" w:rsidR="003603D5" w:rsidRPr="007151F4" w:rsidRDefault="003603D5" w:rsidP="003603D5">
      <w:pPr>
        <w:spacing w:after="200" w:line="276" w:lineRule="auto"/>
        <w:jc w:val="both"/>
        <w:rPr>
          <w:rFonts w:ascii="Geomanist" w:hAnsi="Geomanist"/>
          <w:b/>
          <w:sz w:val="20"/>
          <w:szCs w:val="20"/>
        </w:rPr>
      </w:pPr>
      <w:r w:rsidRPr="007151F4">
        <w:rPr>
          <w:rFonts w:ascii="Geomanist" w:hAnsi="Geomanist"/>
          <w:sz w:val="20"/>
          <w:szCs w:val="20"/>
        </w:rPr>
        <w:t>Para las partidas que correspondan a los incisos f), g) y h) pueden identificarse filtrando el encabezado del</w:t>
      </w:r>
      <w:r w:rsidRPr="007151F4">
        <w:rPr>
          <w:rFonts w:ascii="Geomanist" w:eastAsia="Calibri" w:hAnsi="Geomanist" w:cs="Times New Roman"/>
          <w:sz w:val="20"/>
          <w:szCs w:val="20"/>
          <w:lang w:val="es-MX"/>
        </w:rPr>
        <w:t xml:space="preserve"> </w:t>
      </w:r>
      <w:r w:rsidR="00AB1900" w:rsidRPr="007151F4">
        <w:rPr>
          <w:rFonts w:ascii="Geomanist" w:hAnsi="Geomanist"/>
          <w:b/>
          <w:sz w:val="20"/>
          <w:szCs w:val="20"/>
        </w:rPr>
        <w:t>Anexo 4 REQUERIMIENTO</w:t>
      </w:r>
      <w:r w:rsidRPr="007151F4">
        <w:rPr>
          <w:rFonts w:ascii="Geomanist" w:hAnsi="Geomanist"/>
          <w:b/>
          <w:sz w:val="20"/>
          <w:szCs w:val="20"/>
        </w:rPr>
        <w:t>.</w:t>
      </w:r>
    </w:p>
    <w:p w14:paraId="6E2DAE77" w14:textId="698AF21B" w:rsidR="007151F4" w:rsidRPr="007151F4" w:rsidRDefault="003603D5" w:rsidP="003603D5">
      <w:pPr>
        <w:spacing w:after="200" w:line="276" w:lineRule="auto"/>
        <w:jc w:val="both"/>
        <w:rPr>
          <w:rFonts w:ascii="Geomanist" w:hAnsi="Geomanist"/>
          <w:b/>
          <w:sz w:val="20"/>
          <w:szCs w:val="20"/>
        </w:rPr>
      </w:pPr>
      <w:r w:rsidRPr="007151F4">
        <w:rPr>
          <w:rFonts w:ascii="Geomanist" w:hAnsi="Geomanist"/>
          <w:b/>
          <w:sz w:val="20"/>
          <w:szCs w:val="20"/>
        </w:rPr>
        <w:t xml:space="preserve">2.- Pruebas, método de evaluación y resultado mínimo que debe obtenerse. </w:t>
      </w:r>
    </w:p>
    <w:p w14:paraId="1D926B95" w14:textId="77777777" w:rsidR="003603D5" w:rsidRPr="007151F4" w:rsidRDefault="003603D5" w:rsidP="003603D5">
      <w:pPr>
        <w:spacing w:after="200" w:line="276" w:lineRule="auto"/>
        <w:jc w:val="both"/>
        <w:rPr>
          <w:rFonts w:ascii="Geomanist" w:hAnsi="Geomanist"/>
          <w:sz w:val="20"/>
          <w:szCs w:val="20"/>
        </w:rPr>
      </w:pPr>
      <w:r w:rsidRPr="007151F4">
        <w:rPr>
          <w:rFonts w:ascii="Geomanist" w:hAnsi="Geomanist"/>
          <w:sz w:val="20"/>
          <w:szCs w:val="20"/>
        </w:rPr>
        <w:lastRenderedPageBreak/>
        <w:t>Para el presente procedimiento no se realizarán pruebas.</w:t>
      </w:r>
    </w:p>
    <w:p w14:paraId="1535EDBA" w14:textId="77777777" w:rsidR="003603D5" w:rsidRPr="007151F4" w:rsidRDefault="003603D5" w:rsidP="003603D5">
      <w:pPr>
        <w:autoSpaceDE w:val="0"/>
        <w:autoSpaceDN w:val="0"/>
        <w:adjustRightInd w:val="0"/>
        <w:spacing w:after="200" w:line="276" w:lineRule="auto"/>
        <w:jc w:val="both"/>
        <w:rPr>
          <w:rFonts w:ascii="Geomanist" w:hAnsi="Geomanist"/>
          <w:b/>
          <w:sz w:val="20"/>
          <w:szCs w:val="20"/>
        </w:rPr>
      </w:pPr>
      <w:r w:rsidRPr="007151F4">
        <w:rPr>
          <w:rFonts w:ascii="Geomanist" w:hAnsi="Geomanist"/>
          <w:b/>
          <w:sz w:val="20"/>
          <w:szCs w:val="20"/>
        </w:rPr>
        <w:t>3.-</w:t>
      </w:r>
      <w:r w:rsidRPr="007151F4">
        <w:rPr>
          <w:rFonts w:ascii="Geomanist" w:eastAsia="Calibri" w:hAnsi="Geomanist" w:cs="Arial"/>
          <w:b/>
          <w:color w:val="000000"/>
          <w:sz w:val="20"/>
          <w:szCs w:val="20"/>
        </w:rPr>
        <w:t xml:space="preserve"> </w:t>
      </w:r>
      <w:r w:rsidRPr="007151F4">
        <w:rPr>
          <w:rFonts w:ascii="Geomanist" w:hAnsi="Geomanist"/>
          <w:b/>
          <w:sz w:val="20"/>
          <w:szCs w:val="20"/>
        </w:rPr>
        <w:t>Folletos, catálogos, fotografías, manuales entre otros, en caso de que se requieran para comprobar las especificaciones técnicas requeridas. (4.24.4 inciso e) de las POBALINES)</w:t>
      </w:r>
    </w:p>
    <w:p w14:paraId="50EDADB2" w14:textId="77777777" w:rsidR="003603D5" w:rsidRPr="007151F4" w:rsidRDefault="003603D5" w:rsidP="003603D5">
      <w:pPr>
        <w:spacing w:after="200" w:line="276" w:lineRule="auto"/>
        <w:jc w:val="both"/>
        <w:rPr>
          <w:rFonts w:ascii="Geomanist" w:hAnsi="Geomanist"/>
          <w:sz w:val="20"/>
          <w:szCs w:val="20"/>
        </w:rPr>
      </w:pPr>
      <w:r w:rsidRPr="007151F4">
        <w:rPr>
          <w:rFonts w:ascii="Geomanist" w:hAnsi="Geomanist"/>
          <w:sz w:val="20"/>
          <w:szCs w:val="20"/>
        </w:rPr>
        <w:t>Para el presente procedimiento no se requieren folletos, catálogos, fotografías.</w:t>
      </w:r>
    </w:p>
    <w:p w14:paraId="492D5730" w14:textId="351F2547" w:rsidR="003603D5" w:rsidRPr="007151F4" w:rsidRDefault="003603D5" w:rsidP="003603D5">
      <w:pPr>
        <w:tabs>
          <w:tab w:val="left" w:pos="426"/>
        </w:tabs>
        <w:spacing w:after="200" w:line="276" w:lineRule="auto"/>
        <w:jc w:val="both"/>
        <w:rPr>
          <w:rFonts w:ascii="Geomanist" w:hAnsi="Geomanist"/>
          <w:b/>
          <w:sz w:val="20"/>
          <w:szCs w:val="20"/>
        </w:rPr>
      </w:pPr>
      <w:r w:rsidRPr="007151F4">
        <w:rPr>
          <w:rFonts w:ascii="Geomanist" w:hAnsi="Geomanist"/>
          <w:b/>
          <w:sz w:val="20"/>
          <w:szCs w:val="20"/>
        </w:rPr>
        <w:t>4. Mecanismo de Evaluación Técnica.</w:t>
      </w:r>
    </w:p>
    <w:p w14:paraId="6B7697E3" w14:textId="77777777" w:rsidR="003603D5" w:rsidRPr="007151F4" w:rsidRDefault="003603D5" w:rsidP="003603D5">
      <w:pPr>
        <w:spacing w:after="200" w:line="276" w:lineRule="auto"/>
        <w:contextualSpacing/>
        <w:jc w:val="both"/>
        <w:rPr>
          <w:rFonts w:ascii="Geomanist" w:hAnsi="Geomanist"/>
          <w:sz w:val="20"/>
          <w:szCs w:val="20"/>
        </w:rPr>
      </w:pPr>
      <w:r w:rsidRPr="007151F4">
        <w:rPr>
          <w:rFonts w:ascii="Geomanist" w:hAnsi="Geomanist"/>
          <w:sz w:val="20"/>
          <w:szCs w:val="20"/>
        </w:rPr>
        <w:t xml:space="preserve">La evaluación técnica será documental y consistirá en lo siguiente: </w:t>
      </w:r>
    </w:p>
    <w:p w14:paraId="3FADDC4C" w14:textId="77777777" w:rsidR="003603D5" w:rsidRPr="007151F4" w:rsidRDefault="003603D5" w:rsidP="003603D5">
      <w:pPr>
        <w:spacing w:after="200" w:line="276" w:lineRule="auto"/>
        <w:contextualSpacing/>
        <w:jc w:val="both"/>
        <w:rPr>
          <w:rFonts w:ascii="Geomanist" w:eastAsia="Calibri" w:hAnsi="Geomanist" w:cs="Times New Roman"/>
          <w:sz w:val="20"/>
          <w:szCs w:val="20"/>
          <w:lang w:val="es-MX"/>
        </w:rPr>
      </w:pPr>
    </w:p>
    <w:p w14:paraId="0BE91AC4" w14:textId="78E52674" w:rsidR="003603D5" w:rsidRPr="007151F4" w:rsidRDefault="003603D5" w:rsidP="00C31453">
      <w:pPr>
        <w:numPr>
          <w:ilvl w:val="0"/>
          <w:numId w:val="3"/>
        </w:numPr>
        <w:tabs>
          <w:tab w:val="left" w:pos="284"/>
          <w:tab w:val="left" w:pos="851"/>
        </w:tabs>
        <w:spacing w:after="200" w:line="276" w:lineRule="auto"/>
        <w:ind w:left="284" w:hanging="284"/>
        <w:contextualSpacing/>
        <w:jc w:val="both"/>
        <w:rPr>
          <w:rFonts w:ascii="Geomanist" w:eastAsia="Calibri" w:hAnsi="Geomanist" w:cs="Times New Roman"/>
          <w:b/>
          <w:sz w:val="20"/>
          <w:szCs w:val="20"/>
          <w:lang w:val="es-MX" w:eastAsia="es-ES"/>
        </w:rPr>
      </w:pPr>
      <w:r w:rsidRPr="007151F4">
        <w:rPr>
          <w:rFonts w:ascii="Geomanist" w:hAnsi="Geomanist"/>
          <w:sz w:val="20"/>
          <w:szCs w:val="20"/>
        </w:rPr>
        <w:t>Se validará que las partidas ofertadas en el Anexo denominado</w:t>
      </w:r>
      <w:r w:rsidRPr="007151F4">
        <w:rPr>
          <w:rFonts w:ascii="Geomanist" w:eastAsia="Calibri" w:hAnsi="Geomanist" w:cs="Times New Roman"/>
          <w:sz w:val="20"/>
          <w:szCs w:val="20"/>
          <w:lang w:val="es-MX"/>
        </w:rPr>
        <w:t xml:space="preserve"> </w:t>
      </w:r>
      <w:r w:rsidRPr="007151F4">
        <w:rPr>
          <w:rFonts w:ascii="Geomanist" w:hAnsi="Geomanist"/>
          <w:b/>
          <w:sz w:val="20"/>
          <w:szCs w:val="20"/>
        </w:rPr>
        <w:t>Formato de Propuesta Técnica</w:t>
      </w:r>
      <w:r w:rsidRPr="007151F4">
        <w:rPr>
          <w:rFonts w:ascii="Geomanist" w:eastAsia="Calibri" w:hAnsi="Geomanist" w:cs="Times New Roman"/>
          <w:sz w:val="20"/>
          <w:szCs w:val="20"/>
          <w:lang w:val="es-MX"/>
        </w:rPr>
        <w:t xml:space="preserve">, </w:t>
      </w:r>
      <w:r w:rsidRPr="007151F4">
        <w:rPr>
          <w:rFonts w:ascii="Geomanist" w:hAnsi="Geomanist"/>
          <w:sz w:val="20"/>
          <w:szCs w:val="20"/>
        </w:rPr>
        <w:t>cumplan con lo indicado en el</w:t>
      </w:r>
      <w:r w:rsidRPr="007151F4">
        <w:rPr>
          <w:rFonts w:ascii="Geomanist" w:eastAsia="Calibri" w:hAnsi="Geomanist" w:cs="Times New Roman"/>
          <w:sz w:val="20"/>
          <w:szCs w:val="20"/>
          <w:lang w:val="es-MX"/>
        </w:rPr>
        <w:t xml:space="preserve"> </w:t>
      </w:r>
      <w:r w:rsidR="00AB1900" w:rsidRPr="007151F4">
        <w:rPr>
          <w:rFonts w:ascii="Geomanist" w:hAnsi="Geomanist"/>
          <w:b/>
          <w:sz w:val="20"/>
          <w:szCs w:val="20"/>
        </w:rPr>
        <w:t>Anexo 4 REQUERIMIENTO</w:t>
      </w:r>
      <w:r w:rsidR="00024133" w:rsidRPr="007151F4">
        <w:rPr>
          <w:rFonts w:ascii="Geomanist" w:eastAsia="Calibri" w:hAnsi="Geomanist" w:cs="Arial"/>
          <w:b/>
          <w:sz w:val="20"/>
          <w:szCs w:val="20"/>
          <w:lang w:val="es-MX" w:eastAsia="es-ES"/>
        </w:rPr>
        <w:t xml:space="preserve">, </w:t>
      </w:r>
      <w:r w:rsidRPr="007151F4">
        <w:rPr>
          <w:rFonts w:ascii="Geomanist" w:hAnsi="Geomanist"/>
          <w:sz w:val="20"/>
          <w:szCs w:val="20"/>
        </w:rPr>
        <w:t>conforme al número de clave, descripción del bien, presentación (unidad, cantidad y tipo) y requisito de evaluación de cada partida</w:t>
      </w:r>
      <w:r w:rsidRPr="007151F4">
        <w:rPr>
          <w:rFonts w:ascii="Geomanist" w:eastAsia="Calibri" w:hAnsi="Geomanist" w:cs="Times New Roman"/>
          <w:sz w:val="20"/>
          <w:szCs w:val="20"/>
          <w:lang w:val="es-MX"/>
        </w:rPr>
        <w:t>.</w:t>
      </w:r>
    </w:p>
    <w:p w14:paraId="653742B0" w14:textId="77777777" w:rsidR="003876E8" w:rsidRPr="007151F4" w:rsidRDefault="003876E8" w:rsidP="003876E8">
      <w:pPr>
        <w:tabs>
          <w:tab w:val="left" w:pos="284"/>
          <w:tab w:val="left" w:pos="851"/>
        </w:tabs>
        <w:spacing w:after="200" w:line="276" w:lineRule="auto"/>
        <w:ind w:left="284"/>
        <w:contextualSpacing/>
        <w:jc w:val="both"/>
        <w:rPr>
          <w:rFonts w:ascii="Geomanist" w:eastAsia="Calibri" w:hAnsi="Geomanist" w:cs="Times New Roman"/>
          <w:b/>
          <w:sz w:val="20"/>
          <w:szCs w:val="20"/>
          <w:lang w:val="es-MX" w:eastAsia="es-ES"/>
        </w:rPr>
      </w:pPr>
    </w:p>
    <w:p w14:paraId="08B48BCD" w14:textId="77777777" w:rsidR="003603D5" w:rsidRPr="007151F4" w:rsidRDefault="003603D5" w:rsidP="003603D5">
      <w:pPr>
        <w:spacing w:after="200" w:line="276" w:lineRule="auto"/>
        <w:ind w:left="720"/>
        <w:contextualSpacing/>
        <w:jc w:val="both"/>
        <w:rPr>
          <w:rFonts w:ascii="Geomanist" w:eastAsia="Calibri" w:hAnsi="Geomanist" w:cs="Times New Roman"/>
          <w:b/>
          <w:sz w:val="20"/>
          <w:szCs w:val="20"/>
          <w:lang w:val="es-MX" w:eastAsia="es-ES"/>
        </w:rPr>
      </w:pPr>
    </w:p>
    <w:p w14:paraId="1163EC9A" w14:textId="694F813C" w:rsidR="003603D5" w:rsidRPr="007151F4" w:rsidRDefault="003603D5" w:rsidP="00C31453">
      <w:pPr>
        <w:numPr>
          <w:ilvl w:val="0"/>
          <w:numId w:val="3"/>
        </w:numPr>
        <w:tabs>
          <w:tab w:val="left" w:pos="284"/>
        </w:tabs>
        <w:spacing w:after="200" w:line="276" w:lineRule="auto"/>
        <w:ind w:left="284" w:hanging="284"/>
        <w:contextualSpacing/>
        <w:jc w:val="both"/>
        <w:rPr>
          <w:rFonts w:ascii="Geomanist" w:hAnsi="Geomanist"/>
          <w:sz w:val="20"/>
          <w:szCs w:val="20"/>
        </w:rPr>
      </w:pPr>
      <w:bookmarkStart w:id="0" w:name="_Hlk132193781"/>
      <w:r w:rsidRPr="007151F4">
        <w:rPr>
          <w:rFonts w:ascii="Geomanist" w:hAnsi="Geomanist"/>
          <w:sz w:val="20"/>
          <w:szCs w:val="20"/>
        </w:rPr>
        <w:t>Se verificará que los licitantes presenten la documentación señalada en el requisito de evaluación del</w:t>
      </w:r>
      <w:r w:rsidRPr="007151F4">
        <w:rPr>
          <w:rFonts w:ascii="Geomanist" w:eastAsia="Calibri" w:hAnsi="Geomanist" w:cs="Times New Roman"/>
          <w:sz w:val="20"/>
          <w:szCs w:val="20"/>
        </w:rPr>
        <w:t xml:space="preserve"> </w:t>
      </w:r>
      <w:r w:rsidR="00AB1900" w:rsidRPr="007151F4">
        <w:rPr>
          <w:rFonts w:ascii="Geomanist" w:hAnsi="Geomanist"/>
          <w:b/>
          <w:sz w:val="20"/>
          <w:szCs w:val="20"/>
        </w:rPr>
        <w:t>Anexo 4 REQUERIMIENTO</w:t>
      </w:r>
      <w:r w:rsidRPr="007151F4">
        <w:rPr>
          <w:rFonts w:ascii="Geomanist" w:eastAsia="Calibri" w:hAnsi="Geomanist" w:cs="Arial"/>
          <w:sz w:val="20"/>
          <w:szCs w:val="20"/>
          <w:lang w:val="es-MX"/>
        </w:rPr>
        <w:t>,</w:t>
      </w:r>
      <w:r w:rsidRPr="007151F4">
        <w:rPr>
          <w:rFonts w:ascii="Geomanist" w:eastAsia="Calibri" w:hAnsi="Geomanist" w:cs="Arial"/>
          <w:b/>
          <w:sz w:val="20"/>
          <w:szCs w:val="20"/>
          <w:lang w:val="es-MX"/>
        </w:rPr>
        <w:t xml:space="preserve"> </w:t>
      </w:r>
      <w:r w:rsidRPr="007151F4">
        <w:rPr>
          <w:rFonts w:ascii="Geomanist" w:hAnsi="Geomanist"/>
          <w:sz w:val="20"/>
          <w:szCs w:val="20"/>
        </w:rPr>
        <w:t>así como los supuestos de los incisos a), b), c), d), e), f), g) y h) del numeral 1, del presente documento.</w:t>
      </w:r>
    </w:p>
    <w:p w14:paraId="41787B1B" w14:textId="77777777" w:rsidR="003603D5" w:rsidRPr="007151F4" w:rsidRDefault="003603D5" w:rsidP="003603D5">
      <w:pPr>
        <w:spacing w:line="276" w:lineRule="auto"/>
        <w:ind w:left="720"/>
        <w:contextualSpacing/>
        <w:rPr>
          <w:rFonts w:ascii="Geomanist" w:eastAsia="Calibri" w:hAnsi="Geomanist" w:cs="Times New Roman"/>
          <w:sz w:val="20"/>
          <w:szCs w:val="20"/>
          <w:lang w:val="es-MX"/>
        </w:rPr>
      </w:pPr>
    </w:p>
    <w:bookmarkEnd w:id="0"/>
    <w:p w14:paraId="38216634" w14:textId="56775115" w:rsidR="003603D5" w:rsidRPr="007151F4" w:rsidRDefault="003603D5" w:rsidP="003876E8">
      <w:pPr>
        <w:numPr>
          <w:ilvl w:val="0"/>
          <w:numId w:val="3"/>
        </w:numPr>
        <w:tabs>
          <w:tab w:val="left" w:pos="284"/>
          <w:tab w:val="left" w:pos="426"/>
        </w:tabs>
        <w:spacing w:after="160" w:line="259" w:lineRule="auto"/>
        <w:ind w:left="284" w:hanging="284"/>
        <w:contextualSpacing/>
        <w:jc w:val="both"/>
        <w:rPr>
          <w:rFonts w:ascii="Geomanist" w:hAnsi="Geomanist"/>
          <w:sz w:val="20"/>
          <w:szCs w:val="20"/>
        </w:rPr>
      </w:pPr>
      <w:r w:rsidRPr="007151F4">
        <w:rPr>
          <w:rFonts w:ascii="Geomanist" w:hAnsi="Geomanist"/>
          <w:sz w:val="20"/>
          <w:szCs w:val="20"/>
        </w:rPr>
        <w:t xml:space="preserve">Una vez que se reciban las propuestas de los licitantes y con la finalidad de verificar la calidad de los bienes de los certificados de cumplimiento de las normas presentados, éstos se evaluarán </w:t>
      </w:r>
      <w:r w:rsidR="007F768E" w:rsidRPr="007151F4">
        <w:rPr>
          <w:rFonts w:ascii="Geomanist" w:hAnsi="Geomanist"/>
          <w:sz w:val="20"/>
          <w:szCs w:val="20"/>
        </w:rPr>
        <w:t>de acuerdo con el</w:t>
      </w:r>
      <w:r w:rsidRPr="007151F4">
        <w:rPr>
          <w:rFonts w:ascii="Geomanist" w:hAnsi="Geomanist"/>
          <w:sz w:val="20"/>
          <w:szCs w:val="20"/>
        </w:rPr>
        <w:t xml:space="preserve"> listado emitido por la entidad certificadora correspondiente, conforme a los siguientes puntos:</w:t>
      </w:r>
    </w:p>
    <w:p w14:paraId="7D90F817" w14:textId="77777777" w:rsidR="007151F4" w:rsidRPr="007151F4" w:rsidRDefault="007151F4" w:rsidP="003603D5">
      <w:pPr>
        <w:tabs>
          <w:tab w:val="left" w:pos="1134"/>
        </w:tabs>
        <w:spacing w:line="276" w:lineRule="auto"/>
        <w:ind w:left="851" w:hanging="284"/>
        <w:jc w:val="both"/>
        <w:rPr>
          <w:rFonts w:ascii="Geomanist" w:eastAsia="Calibri" w:hAnsi="Geomanist" w:cs="Arial"/>
          <w:sz w:val="20"/>
          <w:szCs w:val="20"/>
          <w:lang w:val="es-MX"/>
        </w:rPr>
      </w:pPr>
    </w:p>
    <w:p w14:paraId="745AABE9" w14:textId="77777777" w:rsidR="003603D5" w:rsidRPr="007151F4" w:rsidRDefault="003603D5" w:rsidP="003603D5">
      <w:pPr>
        <w:tabs>
          <w:tab w:val="left" w:pos="1134"/>
        </w:tabs>
        <w:spacing w:line="276" w:lineRule="auto"/>
        <w:ind w:left="851" w:hanging="284"/>
        <w:jc w:val="both"/>
        <w:rPr>
          <w:rFonts w:ascii="Geomanist" w:eastAsia="Calibri" w:hAnsi="Geomanist" w:cs="Arial"/>
          <w:sz w:val="20"/>
          <w:szCs w:val="20"/>
          <w:lang w:val="es-MX"/>
        </w:rPr>
      </w:pPr>
      <w:r w:rsidRPr="007151F4">
        <w:rPr>
          <w:rFonts w:ascii="Geomanist" w:eastAsia="Calibri" w:hAnsi="Geomanist" w:cs="Arial"/>
          <w:sz w:val="20"/>
          <w:szCs w:val="20"/>
          <w:lang w:val="es-MX"/>
        </w:rPr>
        <w:t>•</w:t>
      </w:r>
      <w:r w:rsidRPr="007151F4">
        <w:rPr>
          <w:rFonts w:ascii="Geomanist" w:eastAsia="Calibri" w:hAnsi="Geomanist" w:cs="Arial"/>
          <w:sz w:val="20"/>
          <w:szCs w:val="20"/>
          <w:lang w:val="es-MX"/>
        </w:rPr>
        <w:tab/>
      </w:r>
      <w:r w:rsidRPr="007151F4">
        <w:rPr>
          <w:rFonts w:ascii="Geomanist" w:hAnsi="Geomanist"/>
          <w:sz w:val="20"/>
          <w:szCs w:val="20"/>
        </w:rPr>
        <w:t>Vigencia</w:t>
      </w:r>
    </w:p>
    <w:p w14:paraId="5581ED60" w14:textId="22AC497D" w:rsidR="003603D5" w:rsidRPr="007151F4" w:rsidRDefault="003603D5" w:rsidP="003603D5">
      <w:pPr>
        <w:tabs>
          <w:tab w:val="left" w:pos="1134"/>
        </w:tabs>
        <w:spacing w:line="276" w:lineRule="auto"/>
        <w:ind w:left="851" w:hanging="284"/>
        <w:jc w:val="both"/>
        <w:rPr>
          <w:rFonts w:ascii="Geomanist" w:eastAsia="Calibri" w:hAnsi="Geomanist" w:cs="Arial"/>
          <w:sz w:val="20"/>
          <w:szCs w:val="20"/>
          <w:lang w:val="es-MX"/>
        </w:rPr>
      </w:pPr>
      <w:r w:rsidRPr="007151F4">
        <w:rPr>
          <w:rFonts w:ascii="Geomanist" w:eastAsia="Calibri" w:hAnsi="Geomanist" w:cs="Arial"/>
          <w:sz w:val="20"/>
          <w:szCs w:val="20"/>
          <w:lang w:val="es-MX"/>
        </w:rPr>
        <w:t>•</w:t>
      </w:r>
      <w:r w:rsidRPr="007151F4">
        <w:rPr>
          <w:rFonts w:ascii="Geomanist" w:eastAsia="Calibri" w:hAnsi="Geomanist" w:cs="Arial"/>
          <w:sz w:val="20"/>
          <w:szCs w:val="20"/>
          <w:lang w:val="es-MX"/>
        </w:rPr>
        <w:tab/>
      </w:r>
      <w:r w:rsidRPr="007151F4">
        <w:rPr>
          <w:rFonts w:ascii="Geomanist" w:hAnsi="Geomanist"/>
          <w:sz w:val="20"/>
          <w:szCs w:val="20"/>
        </w:rPr>
        <w:t>Estatus del certificado, Vigente, Cancelado o Suspendido</w:t>
      </w:r>
    </w:p>
    <w:p w14:paraId="747C4CB8" w14:textId="106C37FB" w:rsidR="003603D5" w:rsidRPr="007151F4" w:rsidRDefault="003603D5" w:rsidP="003603D5">
      <w:pPr>
        <w:tabs>
          <w:tab w:val="left" w:pos="1134"/>
        </w:tabs>
        <w:spacing w:line="276" w:lineRule="auto"/>
        <w:ind w:left="851" w:hanging="284"/>
        <w:jc w:val="both"/>
        <w:rPr>
          <w:rFonts w:ascii="Geomanist" w:eastAsia="Calibri" w:hAnsi="Geomanist" w:cs="Arial"/>
          <w:sz w:val="20"/>
          <w:szCs w:val="20"/>
          <w:lang w:val="es-MX"/>
        </w:rPr>
      </w:pPr>
      <w:r w:rsidRPr="007151F4">
        <w:rPr>
          <w:rFonts w:ascii="Geomanist" w:eastAsia="Calibri" w:hAnsi="Geomanist" w:cs="Arial"/>
          <w:sz w:val="20"/>
          <w:szCs w:val="20"/>
          <w:lang w:val="es-MX"/>
        </w:rPr>
        <w:t>•</w:t>
      </w:r>
      <w:r w:rsidRPr="007151F4">
        <w:rPr>
          <w:rFonts w:ascii="Geomanist" w:eastAsia="Calibri" w:hAnsi="Geomanist" w:cs="Arial"/>
          <w:sz w:val="20"/>
          <w:szCs w:val="20"/>
          <w:lang w:val="es-MX"/>
        </w:rPr>
        <w:tab/>
      </w:r>
      <w:r w:rsidRPr="007151F4">
        <w:rPr>
          <w:rFonts w:ascii="Geomanist" w:hAnsi="Geomanist"/>
          <w:sz w:val="20"/>
          <w:szCs w:val="20"/>
        </w:rPr>
        <w:t>Número de folio</w:t>
      </w:r>
    </w:p>
    <w:p w14:paraId="5F982EAB" w14:textId="77777777" w:rsidR="003603D5" w:rsidRPr="007151F4" w:rsidRDefault="003603D5" w:rsidP="003603D5">
      <w:pPr>
        <w:tabs>
          <w:tab w:val="left" w:pos="1134"/>
        </w:tabs>
        <w:spacing w:line="276" w:lineRule="auto"/>
        <w:ind w:left="851" w:hanging="284"/>
        <w:jc w:val="both"/>
        <w:rPr>
          <w:rFonts w:ascii="Geomanist" w:eastAsia="Calibri" w:hAnsi="Geomanist" w:cs="Arial"/>
          <w:sz w:val="20"/>
          <w:szCs w:val="20"/>
          <w:lang w:val="es-MX"/>
        </w:rPr>
      </w:pPr>
      <w:r w:rsidRPr="007151F4">
        <w:rPr>
          <w:rFonts w:ascii="Geomanist" w:eastAsia="Calibri" w:hAnsi="Geomanist" w:cs="Arial"/>
          <w:sz w:val="20"/>
          <w:szCs w:val="20"/>
          <w:lang w:val="es-MX"/>
        </w:rPr>
        <w:t>•</w:t>
      </w:r>
      <w:r w:rsidRPr="007151F4">
        <w:rPr>
          <w:rFonts w:ascii="Geomanist" w:eastAsia="Calibri" w:hAnsi="Geomanist" w:cs="Arial"/>
          <w:sz w:val="20"/>
          <w:szCs w:val="20"/>
          <w:lang w:val="es-MX"/>
        </w:rPr>
        <w:tab/>
      </w:r>
      <w:r w:rsidRPr="007151F4">
        <w:rPr>
          <w:rFonts w:ascii="Geomanist" w:hAnsi="Geomanist"/>
          <w:sz w:val="20"/>
          <w:szCs w:val="20"/>
        </w:rPr>
        <w:t>Número de Norma / Norma de referencia</w:t>
      </w:r>
    </w:p>
    <w:p w14:paraId="6C4351D3" w14:textId="77777777" w:rsidR="003603D5" w:rsidRPr="007151F4" w:rsidRDefault="003603D5" w:rsidP="003603D5">
      <w:pPr>
        <w:tabs>
          <w:tab w:val="left" w:pos="1134"/>
        </w:tabs>
        <w:spacing w:line="276" w:lineRule="auto"/>
        <w:ind w:left="851" w:hanging="284"/>
        <w:jc w:val="both"/>
        <w:rPr>
          <w:rFonts w:ascii="Geomanist" w:eastAsia="Calibri" w:hAnsi="Geomanist" w:cs="Arial"/>
          <w:sz w:val="20"/>
          <w:szCs w:val="20"/>
          <w:lang w:val="es-MX"/>
        </w:rPr>
      </w:pPr>
      <w:r w:rsidRPr="007151F4">
        <w:rPr>
          <w:rFonts w:ascii="Geomanist" w:eastAsia="Calibri" w:hAnsi="Geomanist" w:cs="Arial"/>
          <w:sz w:val="20"/>
          <w:szCs w:val="20"/>
          <w:lang w:val="es-MX"/>
        </w:rPr>
        <w:t>•</w:t>
      </w:r>
      <w:r w:rsidRPr="007151F4">
        <w:rPr>
          <w:rFonts w:ascii="Geomanist" w:eastAsia="Calibri" w:hAnsi="Geomanist" w:cs="Arial"/>
          <w:sz w:val="20"/>
          <w:szCs w:val="20"/>
          <w:lang w:val="es-MX"/>
        </w:rPr>
        <w:tab/>
      </w:r>
      <w:r w:rsidRPr="007151F4">
        <w:rPr>
          <w:rFonts w:ascii="Geomanist" w:hAnsi="Geomanist"/>
          <w:sz w:val="20"/>
          <w:szCs w:val="20"/>
        </w:rPr>
        <w:t>Descripción del bien</w:t>
      </w:r>
    </w:p>
    <w:p w14:paraId="6DA70795" w14:textId="77777777" w:rsidR="003603D5" w:rsidRPr="007151F4" w:rsidRDefault="003603D5" w:rsidP="003603D5">
      <w:pPr>
        <w:tabs>
          <w:tab w:val="left" w:pos="1134"/>
        </w:tabs>
        <w:spacing w:line="276" w:lineRule="auto"/>
        <w:jc w:val="both"/>
        <w:rPr>
          <w:rFonts w:ascii="Geomanist" w:eastAsia="Calibri" w:hAnsi="Geomanist" w:cs="Arial"/>
          <w:sz w:val="20"/>
          <w:szCs w:val="20"/>
          <w:lang w:val="es-MX"/>
        </w:rPr>
      </w:pPr>
    </w:p>
    <w:p w14:paraId="525B2D25" w14:textId="1722CC93" w:rsidR="003876E8" w:rsidRPr="007151F4" w:rsidRDefault="003603D5" w:rsidP="003603D5">
      <w:pPr>
        <w:tabs>
          <w:tab w:val="left" w:pos="1134"/>
        </w:tabs>
        <w:spacing w:after="200" w:line="276" w:lineRule="auto"/>
        <w:jc w:val="both"/>
        <w:rPr>
          <w:rFonts w:ascii="Geomanist" w:hAnsi="Geomanist"/>
          <w:sz w:val="20"/>
          <w:szCs w:val="20"/>
        </w:rPr>
      </w:pPr>
      <w:r w:rsidRPr="007151F4">
        <w:rPr>
          <w:rFonts w:ascii="Geomanist" w:hAnsi="Geomanist"/>
          <w:sz w:val="20"/>
          <w:szCs w:val="20"/>
        </w:rPr>
        <w:t xml:space="preserve">La omisión de la presentación de la documentación será causal de </w:t>
      </w:r>
      <w:proofErr w:type="spellStart"/>
      <w:r w:rsidRPr="007151F4">
        <w:rPr>
          <w:rFonts w:ascii="Geomanist" w:hAnsi="Geomanist"/>
          <w:sz w:val="20"/>
          <w:szCs w:val="20"/>
        </w:rPr>
        <w:t>desechamiento</w:t>
      </w:r>
      <w:proofErr w:type="spellEnd"/>
      <w:r w:rsidRPr="007151F4">
        <w:rPr>
          <w:rFonts w:ascii="Geomanist" w:hAnsi="Geomanist"/>
          <w:sz w:val="20"/>
          <w:szCs w:val="20"/>
        </w:rPr>
        <w:t xml:space="preserve"> de propuestas.</w:t>
      </w:r>
    </w:p>
    <w:p w14:paraId="537AB6DF" w14:textId="77777777" w:rsidR="003603D5" w:rsidRPr="007151F4" w:rsidRDefault="003603D5" w:rsidP="003603D5">
      <w:pPr>
        <w:spacing w:after="200" w:line="276" w:lineRule="auto"/>
        <w:jc w:val="both"/>
        <w:rPr>
          <w:rFonts w:ascii="Geomanist" w:eastAsia="Calibri" w:hAnsi="Geomanist" w:cs="Arial"/>
          <w:b/>
          <w:sz w:val="20"/>
          <w:szCs w:val="20"/>
          <w:lang w:val="es-MX" w:eastAsia="es-ES"/>
        </w:rPr>
      </w:pPr>
      <w:r w:rsidRPr="007151F4">
        <w:rPr>
          <w:rFonts w:ascii="Geomanist" w:hAnsi="Geomanist"/>
          <w:b/>
          <w:sz w:val="20"/>
          <w:szCs w:val="20"/>
        </w:rPr>
        <w:t>5.</w:t>
      </w:r>
      <w:r w:rsidRPr="007151F4">
        <w:rPr>
          <w:rFonts w:ascii="Geomanist" w:eastAsia="Calibri" w:hAnsi="Geomanist" w:cs="Arial"/>
          <w:b/>
          <w:sz w:val="20"/>
          <w:szCs w:val="20"/>
          <w:lang w:val="es-MX" w:eastAsia="es-ES"/>
        </w:rPr>
        <w:t xml:space="preserve"> </w:t>
      </w:r>
      <w:r w:rsidRPr="007151F4">
        <w:rPr>
          <w:rFonts w:ascii="Geomanist" w:hAnsi="Geomanist"/>
          <w:b/>
          <w:sz w:val="20"/>
          <w:szCs w:val="20"/>
        </w:rPr>
        <w:t>Designación de Representante del Área Técnica:</w:t>
      </w:r>
    </w:p>
    <w:p w14:paraId="25C666F9" w14:textId="386C72F7" w:rsidR="003603D5" w:rsidRPr="007151F4" w:rsidRDefault="003603D5" w:rsidP="003603D5">
      <w:pPr>
        <w:spacing w:after="200" w:line="276" w:lineRule="auto"/>
        <w:jc w:val="both"/>
        <w:rPr>
          <w:rFonts w:ascii="Geomanist" w:hAnsi="Geomanist"/>
          <w:sz w:val="20"/>
          <w:szCs w:val="20"/>
        </w:rPr>
      </w:pPr>
      <w:r w:rsidRPr="007151F4">
        <w:rPr>
          <w:rFonts w:ascii="Geomanist" w:hAnsi="Geomanist"/>
          <w:sz w:val="20"/>
          <w:szCs w:val="20"/>
        </w:rPr>
        <w:t xml:space="preserve">Se designará como representantes técnicos en el procedimiento que se derive del presente Anexo Técnico, a los </w:t>
      </w:r>
      <w:r w:rsidR="007F768E" w:rsidRPr="007151F4">
        <w:rPr>
          <w:rFonts w:ascii="Geomanist" w:hAnsi="Geomanist"/>
          <w:sz w:val="20"/>
          <w:szCs w:val="20"/>
        </w:rPr>
        <w:t>siguientes servidores</w:t>
      </w:r>
      <w:r w:rsidRPr="007151F4">
        <w:rPr>
          <w:rFonts w:ascii="Geomanist" w:hAnsi="Geomanist"/>
          <w:sz w:val="20"/>
          <w:szCs w:val="20"/>
        </w:rPr>
        <w:t xml:space="preserve"> públicos:</w:t>
      </w:r>
    </w:p>
    <w:p w14:paraId="71D5376D" w14:textId="6323B056" w:rsidR="00BA3F2A" w:rsidRPr="007151F4" w:rsidRDefault="007151F4" w:rsidP="00BA3F2A">
      <w:pPr>
        <w:tabs>
          <w:tab w:val="left" w:pos="284"/>
        </w:tabs>
        <w:spacing w:after="200" w:line="276" w:lineRule="auto"/>
        <w:ind w:left="720"/>
        <w:contextualSpacing/>
        <w:jc w:val="both"/>
        <w:rPr>
          <w:rFonts w:ascii="Geomanist" w:hAnsi="Geomanist"/>
          <w:sz w:val="20"/>
          <w:szCs w:val="20"/>
        </w:rPr>
      </w:pPr>
      <w:r w:rsidRPr="007151F4">
        <w:rPr>
          <w:rFonts w:ascii="Geomanist" w:hAnsi="Geomanist"/>
          <w:sz w:val="20"/>
          <w:szCs w:val="20"/>
        </w:rPr>
        <w:t xml:space="preserve"> </w:t>
      </w:r>
      <w:r w:rsidR="00BA3F2A" w:rsidRPr="007151F4">
        <w:rPr>
          <w:rFonts w:ascii="Geomanist" w:hAnsi="Geomanist"/>
          <w:sz w:val="20"/>
          <w:szCs w:val="20"/>
        </w:rPr>
        <w:t>Lic. Marysol Sanchez Tapia / Supervisor de Limpieza e Higiene</w:t>
      </w:r>
    </w:p>
    <w:p w14:paraId="3C427769" w14:textId="1BBC5154" w:rsidR="003876E8" w:rsidRPr="007151F4" w:rsidRDefault="00BA3F2A" w:rsidP="00BA3F2A">
      <w:pPr>
        <w:tabs>
          <w:tab w:val="left" w:pos="284"/>
        </w:tabs>
        <w:spacing w:after="200" w:line="276" w:lineRule="auto"/>
        <w:ind w:left="720"/>
        <w:contextualSpacing/>
        <w:jc w:val="both"/>
        <w:rPr>
          <w:rFonts w:ascii="Geomanist" w:hAnsi="Geomanist"/>
          <w:sz w:val="20"/>
          <w:szCs w:val="20"/>
        </w:rPr>
      </w:pPr>
      <w:r w:rsidRPr="007151F4">
        <w:rPr>
          <w:rFonts w:ascii="Geomanist" w:hAnsi="Geomanist"/>
          <w:sz w:val="20"/>
          <w:szCs w:val="20"/>
        </w:rPr>
        <w:t>Ing. José Ramon Ibarra Martinez / Jefe de Depto. De Conservación y Servicios generales</w:t>
      </w:r>
    </w:p>
    <w:p w14:paraId="4E9F9ABC" w14:textId="77777777" w:rsidR="007F768E" w:rsidRPr="007151F4" w:rsidRDefault="007F768E" w:rsidP="007F768E">
      <w:pPr>
        <w:tabs>
          <w:tab w:val="left" w:pos="284"/>
        </w:tabs>
        <w:spacing w:after="200" w:line="276" w:lineRule="auto"/>
        <w:ind w:left="720"/>
        <w:contextualSpacing/>
        <w:jc w:val="both"/>
        <w:rPr>
          <w:rFonts w:ascii="Geomanist" w:eastAsia="Calibri" w:hAnsi="Geomanist" w:cs="Times New Roman"/>
          <w:sz w:val="20"/>
          <w:szCs w:val="20"/>
          <w:lang w:val="es-MX"/>
        </w:rPr>
      </w:pPr>
    </w:p>
    <w:p w14:paraId="1EC1F0D5" w14:textId="58189CAB" w:rsidR="003603D5" w:rsidRPr="007151F4" w:rsidRDefault="003603D5" w:rsidP="003603D5">
      <w:pPr>
        <w:spacing w:after="200" w:line="276" w:lineRule="auto"/>
        <w:jc w:val="both"/>
        <w:rPr>
          <w:rFonts w:ascii="Geomanist" w:eastAsia="Calibri" w:hAnsi="Geomanist" w:cs="Arial"/>
          <w:sz w:val="20"/>
          <w:szCs w:val="20"/>
          <w:lang w:val="es-MX"/>
        </w:rPr>
      </w:pPr>
      <w:r w:rsidRPr="007151F4">
        <w:rPr>
          <w:rFonts w:ascii="Geomanist" w:hAnsi="Geomanist"/>
          <w:b/>
          <w:sz w:val="20"/>
          <w:szCs w:val="20"/>
        </w:rPr>
        <w:t>6.</w:t>
      </w:r>
      <w:r w:rsidRPr="007151F4">
        <w:rPr>
          <w:rFonts w:ascii="Geomanist" w:eastAsia="Calibri" w:hAnsi="Geomanist" w:cs="Arial"/>
          <w:b/>
          <w:sz w:val="20"/>
          <w:szCs w:val="20"/>
          <w:lang w:val="es-MX"/>
        </w:rPr>
        <w:t xml:space="preserve"> </w:t>
      </w:r>
      <w:r w:rsidRPr="007151F4">
        <w:rPr>
          <w:rFonts w:ascii="Geomanist" w:hAnsi="Geomanist"/>
          <w:b/>
          <w:sz w:val="20"/>
          <w:szCs w:val="20"/>
        </w:rPr>
        <w:t>Consideración respecto del criterio de evaluación de conformidad con los numerales 4.24.4 inciso c), 4.25 inciso d) y 4.36 de las POBALINES</w:t>
      </w:r>
      <w:r w:rsidRPr="007151F4">
        <w:rPr>
          <w:rFonts w:ascii="Geomanist" w:eastAsia="Calibri" w:hAnsi="Geomanist" w:cs="Arial"/>
          <w:b/>
          <w:sz w:val="20"/>
          <w:szCs w:val="20"/>
          <w:lang w:val="es-MX"/>
        </w:rPr>
        <w:t xml:space="preserve">: </w:t>
      </w:r>
    </w:p>
    <w:p w14:paraId="1276DEC9" w14:textId="77777777" w:rsidR="007151F4" w:rsidRDefault="003603D5" w:rsidP="003603D5">
      <w:pPr>
        <w:tabs>
          <w:tab w:val="left" w:pos="851"/>
        </w:tabs>
        <w:spacing w:after="200" w:line="276" w:lineRule="auto"/>
        <w:contextualSpacing/>
        <w:jc w:val="both"/>
        <w:rPr>
          <w:rFonts w:ascii="Geomanist" w:hAnsi="Geomanist"/>
          <w:sz w:val="20"/>
          <w:szCs w:val="20"/>
        </w:rPr>
      </w:pPr>
      <w:r w:rsidRPr="007151F4">
        <w:rPr>
          <w:rFonts w:ascii="Geomanist" w:hAnsi="Geomanist"/>
          <w:sz w:val="20"/>
          <w:szCs w:val="20"/>
        </w:rPr>
        <w:t xml:space="preserve">En razón de que los bienes objeto del presente procedimiento se encuentran en el Catálogo General de Artículos del Instituto Mexicano del Seguro Social vigente, se considera procedente que la evaluación de las propuestas se realice a través del sistema binario, conforme a </w:t>
      </w:r>
      <w:r w:rsidR="00042072" w:rsidRPr="007151F4">
        <w:rPr>
          <w:rFonts w:ascii="Geomanist" w:hAnsi="Geomanist"/>
          <w:sz w:val="20"/>
          <w:szCs w:val="20"/>
        </w:rPr>
        <w:t>lo dispuesto en los artículos 47 y 48</w:t>
      </w:r>
      <w:r w:rsidRPr="007151F4">
        <w:rPr>
          <w:rFonts w:ascii="Geomanist" w:hAnsi="Geomanist"/>
          <w:sz w:val="20"/>
          <w:szCs w:val="20"/>
        </w:rPr>
        <w:t xml:space="preserve"> de la Ley de </w:t>
      </w:r>
    </w:p>
    <w:p w14:paraId="3AD4B220" w14:textId="77777777" w:rsidR="007151F4" w:rsidRDefault="007151F4" w:rsidP="003603D5">
      <w:pPr>
        <w:tabs>
          <w:tab w:val="left" w:pos="851"/>
        </w:tabs>
        <w:spacing w:after="200" w:line="276" w:lineRule="auto"/>
        <w:contextualSpacing/>
        <w:jc w:val="both"/>
        <w:rPr>
          <w:rFonts w:ascii="Geomanist" w:hAnsi="Geomanist"/>
          <w:sz w:val="20"/>
          <w:szCs w:val="20"/>
        </w:rPr>
      </w:pPr>
    </w:p>
    <w:p w14:paraId="0CC242E1" w14:textId="77777777" w:rsidR="007151F4" w:rsidRDefault="007151F4" w:rsidP="003603D5">
      <w:pPr>
        <w:tabs>
          <w:tab w:val="left" w:pos="851"/>
        </w:tabs>
        <w:spacing w:after="200" w:line="276" w:lineRule="auto"/>
        <w:contextualSpacing/>
        <w:jc w:val="both"/>
        <w:rPr>
          <w:rFonts w:ascii="Geomanist" w:hAnsi="Geomanist"/>
          <w:sz w:val="20"/>
          <w:szCs w:val="20"/>
        </w:rPr>
      </w:pPr>
    </w:p>
    <w:p w14:paraId="3F412D86" w14:textId="138C6FA2" w:rsidR="007151F4" w:rsidRDefault="003603D5" w:rsidP="007151F4">
      <w:pPr>
        <w:tabs>
          <w:tab w:val="left" w:pos="851"/>
        </w:tabs>
        <w:spacing w:after="200" w:line="276" w:lineRule="auto"/>
        <w:contextualSpacing/>
        <w:jc w:val="both"/>
        <w:rPr>
          <w:rFonts w:ascii="Geomanist" w:hAnsi="Geomanist"/>
          <w:sz w:val="20"/>
          <w:szCs w:val="20"/>
        </w:rPr>
      </w:pPr>
      <w:r w:rsidRPr="007151F4">
        <w:rPr>
          <w:rFonts w:ascii="Geomanist" w:hAnsi="Geomanist"/>
          <w:sz w:val="20"/>
          <w:szCs w:val="20"/>
        </w:rPr>
        <w:t xml:space="preserve">Adquisiciones, Arrendamientos y Servicios del Sector Público, en relación con el diverso 51 de su Reglamento, toda vez que los bienes a adquirir se encuentran estandarizados y el factor preponderante que considera para la adjudicación del contrato es el precio más bajo y la disponibilidad de los bienes. </w:t>
      </w:r>
    </w:p>
    <w:p w14:paraId="0DA34EAE" w14:textId="77777777" w:rsidR="007151F4" w:rsidRPr="007151F4" w:rsidRDefault="007151F4" w:rsidP="007151F4">
      <w:pPr>
        <w:tabs>
          <w:tab w:val="left" w:pos="851"/>
        </w:tabs>
        <w:spacing w:after="200" w:line="276" w:lineRule="auto"/>
        <w:contextualSpacing/>
        <w:jc w:val="both"/>
        <w:rPr>
          <w:rFonts w:ascii="Geomanist" w:hAnsi="Geomanist"/>
          <w:sz w:val="20"/>
          <w:szCs w:val="20"/>
        </w:rPr>
      </w:pPr>
    </w:p>
    <w:p w14:paraId="07D548B5" w14:textId="77777777" w:rsidR="003603D5" w:rsidRPr="007151F4" w:rsidRDefault="003603D5" w:rsidP="003603D5">
      <w:pPr>
        <w:spacing w:after="200" w:line="276" w:lineRule="auto"/>
        <w:jc w:val="both"/>
        <w:rPr>
          <w:rFonts w:ascii="Geomanist" w:hAnsi="Geomanist"/>
          <w:b/>
          <w:sz w:val="20"/>
          <w:szCs w:val="20"/>
        </w:rPr>
      </w:pPr>
      <w:r w:rsidRPr="007151F4">
        <w:rPr>
          <w:rFonts w:ascii="Geomanist" w:hAnsi="Geomanist"/>
          <w:b/>
          <w:sz w:val="20"/>
          <w:szCs w:val="20"/>
        </w:rPr>
        <w:t>7.</w:t>
      </w:r>
      <w:r w:rsidRPr="007151F4">
        <w:rPr>
          <w:rFonts w:ascii="Geomanist" w:eastAsia="Calibri" w:hAnsi="Geomanist" w:cs="Arial"/>
          <w:b/>
          <w:sz w:val="20"/>
          <w:szCs w:val="20"/>
          <w:lang w:val="es-MX" w:eastAsia="es-ES"/>
        </w:rPr>
        <w:t xml:space="preserve"> </w:t>
      </w:r>
      <w:r w:rsidRPr="007151F4">
        <w:rPr>
          <w:rFonts w:ascii="Geomanist" w:hAnsi="Geomanist"/>
          <w:b/>
          <w:sz w:val="20"/>
          <w:szCs w:val="20"/>
        </w:rPr>
        <w:t>Otras consideraciones:</w:t>
      </w:r>
    </w:p>
    <w:p w14:paraId="1C52F649" w14:textId="6FF58EA8" w:rsidR="003603D5" w:rsidRPr="007151F4" w:rsidRDefault="003603D5" w:rsidP="003603D5">
      <w:pPr>
        <w:autoSpaceDE w:val="0"/>
        <w:autoSpaceDN w:val="0"/>
        <w:spacing w:after="200" w:line="276" w:lineRule="auto"/>
        <w:jc w:val="both"/>
        <w:rPr>
          <w:rFonts w:ascii="Geomanist" w:hAnsi="Geomanist"/>
          <w:b/>
          <w:sz w:val="20"/>
          <w:szCs w:val="20"/>
        </w:rPr>
      </w:pPr>
      <w:r w:rsidRPr="007151F4">
        <w:rPr>
          <w:rFonts w:ascii="Geomanist" w:hAnsi="Geomanist"/>
          <w:b/>
          <w:sz w:val="20"/>
          <w:szCs w:val="20"/>
        </w:rPr>
        <w:t>La presentación de ofertas implica el cumplimiento de los “Términos y Condiciones” que se anexan al presente.</w:t>
      </w:r>
    </w:p>
    <w:p w14:paraId="36D8A92D" w14:textId="77777777" w:rsidR="003876E8" w:rsidRDefault="003876E8" w:rsidP="003876E8">
      <w:pPr>
        <w:autoSpaceDE w:val="0"/>
        <w:autoSpaceDN w:val="0"/>
        <w:adjustRightInd w:val="0"/>
        <w:spacing w:after="200" w:line="276" w:lineRule="auto"/>
        <w:ind w:right="15"/>
        <w:jc w:val="both"/>
        <w:rPr>
          <w:rFonts w:ascii="Geomanist" w:eastAsia="Calibri" w:hAnsi="Geomanist" w:cs="Arial"/>
          <w:sz w:val="20"/>
          <w:szCs w:val="20"/>
          <w:lang w:val="es-MX"/>
        </w:rPr>
      </w:pPr>
      <w:r w:rsidRPr="007151F4">
        <w:rPr>
          <w:rFonts w:ascii="Geomanist" w:hAnsi="Geomanist"/>
          <w:sz w:val="20"/>
          <w:szCs w:val="20"/>
        </w:rPr>
        <w:t>El presente documento se suscribe como Área Técnica para la Adquisición de bienes no terapéuticos correspondientes al “Grupo 350 Artículos y Químicos de Aseo para cubrir las necesidades de los Órganos de Operación Administrativa Desconcentrada, Unidades Médicas de Alta Especialidad y Oficinas Centrales para el ejercicio 2025”, con fundamento en el numeral 5.3.1 inciso a) de las Políticas, Bases y Lineamientos en Materia de Adquisiciones, Arrendamientos y Servicios del Instituto Mexicano del Seguro Social, atendiendo a las funciones sustantivas de la División de Conservación (numeral 7.1.1.1.2.1)  del Manual de Organización de la Dirección de Administración</w:t>
      </w:r>
      <w:r w:rsidRPr="007151F4">
        <w:rPr>
          <w:rFonts w:ascii="Geomanist" w:eastAsia="Calibri" w:hAnsi="Geomanist" w:cs="Arial"/>
          <w:sz w:val="20"/>
          <w:szCs w:val="20"/>
          <w:lang w:val="es-MX"/>
        </w:rPr>
        <w:t>.</w:t>
      </w:r>
    </w:p>
    <w:p w14:paraId="708156A5" w14:textId="77777777" w:rsidR="00EF3CA4" w:rsidRPr="007151F4" w:rsidRDefault="00EF3CA4" w:rsidP="003876E8">
      <w:pPr>
        <w:autoSpaceDE w:val="0"/>
        <w:autoSpaceDN w:val="0"/>
        <w:adjustRightInd w:val="0"/>
        <w:spacing w:after="200" w:line="276" w:lineRule="auto"/>
        <w:ind w:right="15"/>
        <w:jc w:val="both"/>
        <w:rPr>
          <w:rFonts w:ascii="Geomanist" w:eastAsia="Calibri" w:hAnsi="Geomanist" w:cs="Arial"/>
          <w:sz w:val="20"/>
          <w:szCs w:val="20"/>
          <w:lang w:val="es-MX"/>
        </w:rPr>
      </w:pPr>
      <w:bookmarkStart w:id="1" w:name="_GoBack"/>
      <w:bookmarkEnd w:id="1"/>
    </w:p>
    <w:p w14:paraId="3B9DD7D4" w14:textId="77777777" w:rsidR="00EF3CA4" w:rsidRPr="00235532" w:rsidRDefault="00EF3CA4" w:rsidP="00EF3CA4">
      <w:pPr>
        <w:jc w:val="center"/>
        <w:rPr>
          <w:rFonts w:ascii="Noto Sans" w:hAnsi="Noto Sans" w:cs="Noto Sans"/>
          <w:sz w:val="20"/>
          <w:szCs w:val="20"/>
        </w:rPr>
      </w:pPr>
      <w:r w:rsidRPr="00235532">
        <w:rPr>
          <w:rFonts w:ascii="Noto Sans" w:hAnsi="Noto Sans" w:cs="Noto Sans"/>
          <w:sz w:val="20"/>
          <w:szCs w:val="20"/>
        </w:rPr>
        <w:t>LUGAR Y FECHA</w:t>
      </w:r>
    </w:p>
    <w:p w14:paraId="316DBBBB" w14:textId="77777777" w:rsidR="00EF3CA4" w:rsidRPr="00235532" w:rsidRDefault="00EF3CA4" w:rsidP="00EF3CA4">
      <w:pPr>
        <w:jc w:val="both"/>
        <w:rPr>
          <w:rFonts w:ascii="Noto Sans" w:hAnsi="Noto Sans" w:cs="Noto Sans"/>
          <w:sz w:val="20"/>
          <w:szCs w:val="20"/>
        </w:rPr>
      </w:pPr>
    </w:p>
    <w:p w14:paraId="59C7C362" w14:textId="77777777" w:rsidR="00EF3CA4" w:rsidRPr="00235532" w:rsidRDefault="00EF3CA4" w:rsidP="00EF3CA4">
      <w:pPr>
        <w:jc w:val="both"/>
        <w:rPr>
          <w:rFonts w:ascii="Noto Sans" w:hAnsi="Noto Sans" w:cs="Noto Sans"/>
          <w:sz w:val="20"/>
          <w:szCs w:val="20"/>
        </w:rPr>
      </w:pPr>
    </w:p>
    <w:p w14:paraId="5F9F6742" w14:textId="77777777" w:rsidR="00EF3CA4" w:rsidRPr="00235532" w:rsidRDefault="00EF3CA4" w:rsidP="00EF3CA4">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014934F5" w14:textId="77777777" w:rsidR="00EF3CA4" w:rsidRPr="00235532" w:rsidRDefault="00EF3CA4" w:rsidP="00EF3CA4">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6DF75BBF" w14:textId="35F62D43" w:rsidR="00BC056A" w:rsidRPr="007151F4" w:rsidRDefault="00BC056A" w:rsidP="00EF3CA4">
      <w:pPr>
        <w:autoSpaceDE w:val="0"/>
        <w:autoSpaceDN w:val="0"/>
        <w:jc w:val="both"/>
        <w:rPr>
          <w:rFonts w:ascii="Geomanist" w:hAnsi="Geomanist"/>
          <w:sz w:val="20"/>
          <w:szCs w:val="20"/>
        </w:rPr>
      </w:pPr>
    </w:p>
    <w:sectPr w:rsidR="00BC056A" w:rsidRPr="007151F4" w:rsidSect="001D03E1">
      <w:headerReference w:type="default" r:id="rId11"/>
      <w:footerReference w:type="default" r:id="rId12"/>
      <w:pgSz w:w="12240" w:h="15840"/>
      <w:pgMar w:top="2211"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84967" w14:textId="77777777" w:rsidR="000C6D55" w:rsidRDefault="000C6D55" w:rsidP="00A73D65">
      <w:r>
        <w:separator/>
      </w:r>
    </w:p>
  </w:endnote>
  <w:endnote w:type="continuationSeparator" w:id="0">
    <w:p w14:paraId="2786461B" w14:textId="77777777" w:rsidR="000C6D55" w:rsidRDefault="000C6D55"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游明朝">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Noto Sans">
    <w:panose1 w:val="020B0502040504020204"/>
    <w:charset w:val="00"/>
    <w:family w:val="swiss"/>
    <w:pitch w:val="variable"/>
    <w:sig w:usb0="E00002FF" w:usb1="4000201F" w:usb2="08000029" w:usb3="00000000" w:csb0="0000019F" w:csb1="00000000"/>
  </w:font>
  <w:font w:name="Montserrat">
    <w:altName w:val="Courier New"/>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Geomanist Book">
    <w:altName w:val="Calibri"/>
    <w:panose1 w:val="00000000000000000000"/>
    <w:charset w:val="00"/>
    <w:family w:val="modern"/>
    <w:notTrueType/>
    <w:pitch w:val="variable"/>
    <w:sig w:usb0="A000002F" w:usb1="1000004A" w:usb2="00000000" w:usb3="00000000" w:csb0="00000193"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E8DE6" w14:textId="281FA7BC" w:rsidR="008A131A" w:rsidRDefault="002D2D54">
    <w:pPr>
      <w:pStyle w:val="Piedepgina"/>
    </w:pPr>
    <w:r w:rsidRPr="00042072">
      <w:rPr>
        <w:noProof/>
        <w:lang w:val="es-MX" w:eastAsia="es-MX"/>
      </w:rPr>
      <mc:AlternateContent>
        <mc:Choice Requires="wps">
          <w:drawing>
            <wp:anchor distT="0" distB="0" distL="114300" distR="114300" simplePos="0" relativeHeight="251669504" behindDoc="0" locked="0" layoutInCell="1" allowOverlap="1" wp14:anchorId="50A442B5" wp14:editId="4706FF43">
              <wp:simplePos x="0" y="0"/>
              <wp:positionH relativeFrom="margin">
                <wp:posOffset>1485265</wp:posOffset>
              </wp:positionH>
              <wp:positionV relativeFrom="paragraph">
                <wp:posOffset>-258522</wp:posOffset>
              </wp:positionV>
              <wp:extent cx="3086100" cy="400050"/>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0050"/>
                      </a:xfrm>
                      <a:prstGeom prst="rect">
                        <a:avLst/>
                      </a:prstGeom>
                      <a:noFill/>
                      <a:ln w="9525">
                        <a:noFill/>
                        <a:miter lim="800000"/>
                        <a:headEnd/>
                        <a:tailEnd/>
                      </a:ln>
                    </wps:spPr>
                    <wps:txbx>
                      <w:txbxContent>
                        <w:p w14:paraId="6F402B41" w14:textId="77777777" w:rsidR="00042072" w:rsidRPr="00BC60AB" w:rsidRDefault="00042072" w:rsidP="00042072">
                          <w:pPr>
                            <w:rPr>
                              <w:rFonts w:ascii="Montserrat" w:hAnsi="Montserrat"/>
                              <w:b/>
                              <w:sz w:val="10"/>
                              <w:szCs w:val="12"/>
                            </w:rPr>
                          </w:pPr>
                          <w:r w:rsidRPr="00BC60AB">
                            <w:rPr>
                              <w:rFonts w:ascii="Montserrat" w:hAnsi="Montserrat"/>
                              <w:b/>
                              <w:sz w:val="10"/>
                              <w:szCs w:val="12"/>
                              <w:lang w:val="pt-PT"/>
                            </w:rPr>
                            <w:t xml:space="preserve">Av. Belisario Domínguez No. 1000, 1er. </w:t>
                          </w:r>
                          <w:r w:rsidRPr="00BC60AB">
                            <w:rPr>
                              <w:rFonts w:ascii="Montserrat" w:hAnsi="Montserrat"/>
                              <w:b/>
                              <w:sz w:val="10"/>
                              <w:szCs w:val="12"/>
                            </w:rPr>
                            <w:t xml:space="preserve">Piso, Colonia: Independencia, </w:t>
                          </w:r>
                        </w:p>
                        <w:p w14:paraId="0BC84AFC" w14:textId="77777777" w:rsidR="00042072" w:rsidRPr="00BC60AB" w:rsidRDefault="00042072" w:rsidP="00042072">
                          <w:pPr>
                            <w:rPr>
                              <w:rFonts w:ascii="Montserrat" w:hAnsi="Montserrat"/>
                              <w:b/>
                              <w:sz w:val="10"/>
                              <w:szCs w:val="12"/>
                            </w:rPr>
                          </w:pPr>
                          <w:r w:rsidRPr="00BC60AB">
                            <w:rPr>
                              <w:rFonts w:ascii="Montserrat" w:hAnsi="Montserrat"/>
                              <w:b/>
                              <w:sz w:val="10"/>
                              <w:szCs w:val="12"/>
                            </w:rPr>
                            <w:t>Guadalajara, Jalisco, CP 44340, Teléfono Directo: 33 36 18 27 60</w:t>
                          </w:r>
                        </w:p>
                        <w:p w14:paraId="1DF16E74" w14:textId="77777777" w:rsidR="00042072" w:rsidRPr="00BC60AB" w:rsidRDefault="00042072" w:rsidP="00042072">
                          <w:pPr>
                            <w:rPr>
                              <w:rFonts w:ascii="Montserrat" w:hAnsi="Montserrat"/>
                              <w:b/>
                              <w:sz w:val="10"/>
                              <w:szCs w:val="12"/>
                            </w:rPr>
                          </w:pPr>
                          <w:r w:rsidRPr="00BC60AB">
                            <w:rPr>
                              <w:rFonts w:ascii="Montserrat" w:hAnsi="Montserrat"/>
                              <w:b/>
                              <w:sz w:val="10"/>
                              <w:szCs w:val="12"/>
                            </w:rPr>
                            <w:t xml:space="preserve">Teléfono Conmutador: 33-36-68-30-00, Ext.31430, 31467,31468, 31469,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margin-left:116.95pt;margin-top:-20.35pt;width:243pt;height:3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" filled="f" stroked="f">
              <v:textbox>
                <w:txbxContent>
                  <w:p w14:paraId="6F402B41" w14:textId="77777777" w:rsidR="00042072" w:rsidRPr="00BC60AB" w:rsidRDefault="00042072" w:rsidP="00042072">
                    <w:pPr>
                      <w:rPr>
                        <w:rFonts w:ascii="Montserrat" w:hAnsi="Montserrat"/>
                        <w:b/>
                        <w:sz w:val="10"/>
                        <w:szCs w:val="12"/>
                      </w:rPr>
                    </w:pPr>
                    <w:r w:rsidRPr="00BC60AB">
                      <w:rPr>
                        <w:rFonts w:ascii="Montserrat" w:hAnsi="Montserrat"/>
                        <w:b/>
                        <w:sz w:val="10"/>
                        <w:szCs w:val="12"/>
                        <w:lang w:val="pt-PT"/>
                      </w:rPr>
                      <w:t xml:space="preserve">Av. Belisario Domínguez No. 1000, 1er. </w:t>
                    </w:r>
                    <w:r w:rsidRPr="00BC60AB">
                      <w:rPr>
                        <w:rFonts w:ascii="Montserrat" w:hAnsi="Montserrat"/>
                        <w:b/>
                        <w:sz w:val="10"/>
                        <w:szCs w:val="12"/>
                      </w:rPr>
                      <w:t xml:space="preserve">Piso, Colonia: Independencia, </w:t>
                    </w:r>
                  </w:p>
                  <w:p w14:paraId="0BC84AFC" w14:textId="77777777" w:rsidR="00042072" w:rsidRPr="00BC60AB" w:rsidRDefault="00042072" w:rsidP="00042072">
                    <w:pPr>
                      <w:rPr>
                        <w:rFonts w:ascii="Montserrat" w:hAnsi="Montserrat"/>
                        <w:b/>
                        <w:sz w:val="10"/>
                        <w:szCs w:val="12"/>
                      </w:rPr>
                    </w:pPr>
                    <w:r w:rsidRPr="00BC60AB">
                      <w:rPr>
                        <w:rFonts w:ascii="Montserrat" w:hAnsi="Montserrat"/>
                        <w:b/>
                        <w:sz w:val="10"/>
                        <w:szCs w:val="12"/>
                      </w:rPr>
                      <w:t>Guadalajara, Jalisco, CP 44340, Teléfono Directo: 33 36 18 27 60</w:t>
                    </w:r>
                  </w:p>
                  <w:p w14:paraId="1DF16E74" w14:textId="77777777" w:rsidR="00042072" w:rsidRPr="00BC60AB" w:rsidRDefault="00042072" w:rsidP="00042072">
                    <w:pPr>
                      <w:rPr>
                        <w:rFonts w:ascii="Montserrat" w:hAnsi="Montserrat"/>
                        <w:b/>
                        <w:sz w:val="10"/>
                        <w:szCs w:val="12"/>
                      </w:rPr>
                    </w:pPr>
                    <w:r w:rsidRPr="00BC60AB">
                      <w:rPr>
                        <w:rFonts w:ascii="Montserrat" w:hAnsi="Montserrat"/>
                        <w:b/>
                        <w:sz w:val="10"/>
                        <w:szCs w:val="12"/>
                      </w:rPr>
                      <w:t xml:space="preserve">Teléfono Conmutador: 33-36-68-30-00, Ext.31430, 31467,31468, 31469, </w:t>
                    </w:r>
                  </w:p>
                </w:txbxContent>
              </v:textbox>
              <w10:wrap anchorx="margin"/>
            </v:shape>
          </w:pict>
        </mc:Fallback>
      </mc:AlternateContent>
    </w:r>
    <w:r w:rsidRPr="00042072">
      <w:rPr>
        <w:noProof/>
        <w:lang w:val="es-MX" w:eastAsia="es-MX"/>
      </w:rPr>
      <w:drawing>
        <wp:anchor distT="0" distB="0" distL="114300" distR="114300" simplePos="0" relativeHeight="251670528" behindDoc="0" locked="0" layoutInCell="1" allowOverlap="1" wp14:anchorId="3D7E86CD" wp14:editId="2DB03F3C">
          <wp:simplePos x="0" y="0"/>
          <wp:positionH relativeFrom="column">
            <wp:posOffset>4480560</wp:posOffset>
          </wp:positionH>
          <wp:positionV relativeFrom="paragraph">
            <wp:posOffset>-366395</wp:posOffset>
          </wp:positionV>
          <wp:extent cx="1657350" cy="415290"/>
          <wp:effectExtent l="0" t="0" r="0" b="3810"/>
          <wp:wrapNone/>
          <wp:docPr id="9" name="Imagen 9"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072">
      <w:rPr>
        <w:noProof/>
        <w:lang w:val="es-MX" w:eastAsia="es-MX"/>
      </w:rPr>
      <w:drawing>
        <wp:anchor distT="0" distB="0" distL="114300" distR="114300" simplePos="0" relativeHeight="251671552" behindDoc="1" locked="0" layoutInCell="1" allowOverlap="1" wp14:anchorId="1DB884E8" wp14:editId="61729975">
          <wp:simplePos x="0" y="0"/>
          <wp:positionH relativeFrom="column">
            <wp:posOffset>-396875</wp:posOffset>
          </wp:positionH>
          <wp:positionV relativeFrom="paragraph">
            <wp:posOffset>-358140</wp:posOffset>
          </wp:positionV>
          <wp:extent cx="6657975" cy="877570"/>
          <wp:effectExtent l="0" t="0" r="9525" b="0"/>
          <wp:wrapNone/>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1E0" w:rsidRPr="00AB45EC">
      <w:rPr>
        <w:rFonts w:ascii="Calibri" w:eastAsia="MS Mincho" w:hAnsi="Calibri" w:cs="Times New Roman"/>
        <w:noProof/>
        <w:sz w:val="10"/>
        <w:lang w:val="es-MX" w:eastAsia="es-MX"/>
      </w:rPr>
      <mc:AlternateContent>
        <mc:Choice Requires="wps">
          <w:drawing>
            <wp:anchor distT="0" distB="0" distL="114300" distR="114300" simplePos="0" relativeHeight="251662336" behindDoc="0" locked="0" layoutInCell="1" allowOverlap="1" wp14:anchorId="0BFC6421" wp14:editId="414A39E1">
              <wp:simplePos x="0" y="0"/>
              <wp:positionH relativeFrom="column">
                <wp:posOffset>-38100</wp:posOffset>
              </wp:positionH>
              <wp:positionV relativeFrom="paragraph">
                <wp:posOffset>-241935</wp:posOffset>
              </wp:positionV>
              <wp:extent cx="5652998" cy="245110"/>
              <wp:effectExtent l="0" t="0" r="0" b="254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998" cy="245110"/>
                      </a:xfrm>
                      <a:prstGeom prst="rect">
                        <a:avLst/>
                      </a:prstGeom>
                      <a:noFill/>
                      <a:ln w="9525">
                        <a:noFill/>
                        <a:miter lim="800000"/>
                        <a:headEnd/>
                        <a:tailEnd/>
                      </a:ln>
                    </wps:spPr>
                    <wps:txbx>
                      <w:txbxContent>
                        <w:p w14:paraId="7EE197D8" w14:textId="45F5D504" w:rsidR="007411E0" w:rsidRPr="00BB31C4" w:rsidRDefault="007411E0" w:rsidP="007411E0">
                          <w:pPr>
                            <w:jc w:val="center"/>
                            <w:rPr>
                              <w:rFonts w:ascii="Geomanist Book" w:hAnsi="Geomanist Book"/>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28" type="#_x0000_t202" style="position:absolute;margin-left:-3pt;margin-top:-19.05pt;width:445.1pt;height:1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" filled="f" stroked="f">
              <v:textbox>
                <w:txbxContent>
                  <w:p w14:paraId="7EE197D8" w14:textId="45F5D504" w:rsidR="007411E0" w:rsidRPr="00BB31C4" w:rsidRDefault="007411E0" w:rsidP="007411E0">
                    <w:pPr>
                      <w:jc w:val="center"/>
                      <w:rPr>
                        <w:rFonts w:ascii="Geomanist Book" w:hAnsi="Geomanist Book"/>
                        <w:sz w:val="15"/>
                        <w:szCs w:val="15"/>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AB59D" w14:textId="77777777" w:rsidR="000C6D55" w:rsidRDefault="000C6D55" w:rsidP="00A73D65">
      <w:r>
        <w:separator/>
      </w:r>
    </w:p>
  </w:footnote>
  <w:footnote w:type="continuationSeparator" w:id="0">
    <w:p w14:paraId="397771A3" w14:textId="77777777" w:rsidR="000C6D55" w:rsidRDefault="000C6D55"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9FC4A" w14:textId="27B9BA0E" w:rsidR="00042072" w:rsidRDefault="00042072">
    <w:pPr>
      <w:pStyle w:val="Encabezado"/>
    </w:pPr>
    <w:r w:rsidRPr="00042072">
      <w:rPr>
        <w:noProof/>
        <w:lang w:val="es-MX" w:eastAsia="es-MX"/>
      </w:rPr>
      <w:drawing>
        <wp:anchor distT="0" distB="0" distL="114300" distR="114300" simplePos="0" relativeHeight="251664384" behindDoc="0" locked="0" layoutInCell="1" allowOverlap="1" wp14:anchorId="1B23835B" wp14:editId="3C72EC7C">
          <wp:simplePos x="0" y="0"/>
          <wp:positionH relativeFrom="column">
            <wp:posOffset>1176655</wp:posOffset>
          </wp:positionH>
          <wp:positionV relativeFrom="paragraph">
            <wp:posOffset>343535</wp:posOffset>
          </wp:positionV>
          <wp:extent cx="2822575" cy="46482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2575"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072">
      <w:rPr>
        <w:noProof/>
        <w:lang w:val="es-MX" w:eastAsia="es-MX"/>
      </w:rPr>
      <w:drawing>
        <wp:anchor distT="0" distB="0" distL="114300" distR="114300" simplePos="0" relativeHeight="251665408" behindDoc="0" locked="0" layoutInCell="1" allowOverlap="1" wp14:anchorId="1FE73441" wp14:editId="03CC67FA">
          <wp:simplePos x="0" y="0"/>
          <wp:positionH relativeFrom="column">
            <wp:posOffset>5499100</wp:posOffset>
          </wp:positionH>
          <wp:positionV relativeFrom="paragraph">
            <wp:posOffset>-45720</wp:posOffset>
          </wp:positionV>
          <wp:extent cx="1097280" cy="1118870"/>
          <wp:effectExtent l="0" t="0" r="762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BEBA8EAE-BF5A-486C-A8C5-ECC9F3942E4B}">
                        <a14:imgProps xmlns:a14="http://schemas.microsoft.com/office/drawing/2010/main">
                          <a14:imgLayer r:embed="rId3">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097280" cy="1118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072">
      <w:rPr>
        <w:noProof/>
        <w:lang w:val="es-MX" w:eastAsia="es-MX"/>
      </w:rPr>
      <mc:AlternateContent>
        <mc:Choice Requires="wps">
          <w:drawing>
            <wp:anchor distT="0" distB="0" distL="114300" distR="114300" simplePos="0" relativeHeight="251666432" behindDoc="0" locked="0" layoutInCell="1" allowOverlap="1" wp14:anchorId="53BD8470" wp14:editId="288E9362">
              <wp:simplePos x="0" y="0"/>
              <wp:positionH relativeFrom="column">
                <wp:posOffset>4058920</wp:posOffset>
              </wp:positionH>
              <wp:positionV relativeFrom="paragraph">
                <wp:posOffset>207010</wp:posOffset>
              </wp:positionV>
              <wp:extent cx="1552575" cy="857250"/>
              <wp:effectExtent l="0" t="0" r="9525" b="0"/>
              <wp:wrapSquare wrapText="bothSides"/>
              <wp:docPr id="8" name="Text Box 2"/>
              <wp:cNvGraphicFramePr/>
              <a:graphic xmlns:a="http://schemas.openxmlformats.org/drawingml/2006/main">
                <a:graphicData uri="http://schemas.microsoft.com/office/word/2010/wordprocessingShape">
                  <wps:wsp>
                    <wps:cNvSpPr txBox="1"/>
                    <wps:spPr>
                      <a:xfrm>
                        <a:off x="0" y="0"/>
                        <a:ext cx="1552575" cy="857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4A0AB46" w14:textId="77777777" w:rsidR="00042072" w:rsidRPr="00E942A5" w:rsidRDefault="00042072" w:rsidP="00042072">
                          <w:pPr>
                            <w:ind w:left="142"/>
                            <w:rPr>
                              <w:rFonts w:ascii="Noto Sans" w:hAnsi="Noto Sans" w:cs="Noto Sans"/>
                              <w:bCs/>
                              <w:sz w:val="14"/>
                              <w:szCs w:val="18"/>
                            </w:rPr>
                          </w:pPr>
                          <w:r w:rsidRPr="00E942A5">
                            <w:rPr>
                              <w:rFonts w:ascii="Noto Sans" w:hAnsi="Noto Sans" w:cs="Noto Sans"/>
                              <w:bCs/>
                              <w:sz w:val="14"/>
                              <w:szCs w:val="18"/>
                            </w:rPr>
                            <w:t>Dirección de Prestaciones Médicas.</w:t>
                          </w:r>
                        </w:p>
                        <w:p w14:paraId="22D7468B" w14:textId="77777777" w:rsidR="00042072" w:rsidRPr="00E942A5" w:rsidRDefault="00042072" w:rsidP="00042072">
                          <w:pPr>
                            <w:ind w:left="142"/>
                            <w:rPr>
                              <w:rFonts w:ascii="Noto Sans" w:hAnsi="Noto Sans" w:cs="Noto Sans"/>
                              <w:sz w:val="14"/>
                              <w:szCs w:val="18"/>
                            </w:rPr>
                          </w:pPr>
                          <w:r w:rsidRPr="00E942A5">
                            <w:rPr>
                              <w:rFonts w:ascii="Noto Sans" w:hAnsi="Noto Sans" w:cs="Noto Sans"/>
                              <w:sz w:val="14"/>
                              <w:szCs w:val="18"/>
                            </w:rPr>
                            <w:t>Coordinación de Unidades Médicas de Alta Especialidad</w:t>
                          </w:r>
                        </w:p>
                        <w:p w14:paraId="37B9F91F" w14:textId="77777777" w:rsidR="00042072" w:rsidRPr="00E942A5" w:rsidRDefault="00042072" w:rsidP="00042072">
                          <w:pPr>
                            <w:ind w:left="142"/>
                            <w:rPr>
                              <w:rFonts w:ascii="Noto Sans" w:hAnsi="Noto Sans" w:cs="Noto Sans"/>
                              <w:sz w:val="14"/>
                              <w:szCs w:val="18"/>
                              <w:lang w:val="pt-PT"/>
                            </w:rPr>
                          </w:pPr>
                          <w:r w:rsidRPr="00E942A5">
                            <w:rPr>
                              <w:rFonts w:ascii="Noto Sans" w:hAnsi="Noto Sans" w:cs="Noto Sans"/>
                              <w:sz w:val="14"/>
                              <w:szCs w:val="18"/>
                              <w:lang w:val="pt-PT"/>
                            </w:rPr>
                            <w:t>UMAE, Hospital de Especialidades, CMNO.</w:t>
                          </w:r>
                        </w:p>
                        <w:p w14:paraId="7496DDB2" w14:textId="77777777" w:rsidR="00042072" w:rsidRDefault="00042072" w:rsidP="00042072">
                          <w:pPr>
                            <w:ind w:left="142"/>
                            <w:rPr>
                              <w:rFonts w:ascii="Noto Sans" w:hAnsi="Noto Sans" w:cs="Noto Sans"/>
                              <w:sz w:val="14"/>
                              <w:szCs w:val="18"/>
                            </w:rPr>
                          </w:pPr>
                          <w:r w:rsidRPr="00E942A5">
                            <w:rPr>
                              <w:rFonts w:ascii="Noto Sans" w:hAnsi="Noto Sans" w:cs="Noto Sans"/>
                              <w:sz w:val="14"/>
                              <w:szCs w:val="18"/>
                            </w:rPr>
                            <w:t xml:space="preserve">"Lic. Ignacio García Téllez". </w:t>
                          </w:r>
                        </w:p>
                        <w:p w14:paraId="5AC3E1C9" w14:textId="77777777" w:rsidR="00042072" w:rsidRPr="00E942A5" w:rsidRDefault="00042072" w:rsidP="00042072">
                          <w:pPr>
                            <w:ind w:left="142"/>
                            <w:rPr>
                              <w:rFonts w:ascii="Noto Sans" w:hAnsi="Noto Sans" w:cs="Noto Sans"/>
                              <w:sz w:val="14"/>
                              <w:szCs w:val="18"/>
                            </w:rPr>
                          </w:pPr>
                          <w:r>
                            <w:rPr>
                              <w:rFonts w:ascii="Noto Sans" w:hAnsi="Noto Sans" w:cs="Noto Sans"/>
                              <w:sz w:val="14"/>
                              <w:szCs w:val="18"/>
                            </w:rPr>
                            <w:t>Dirección general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6pt;margin-top:16.3pt;width:122.2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" filled="f" stroked="f">
              <v:textbox inset="0,0,0,0">
                <w:txbxContent>
                  <w:p w14:paraId="04A0AB46" w14:textId="77777777" w:rsidR="00042072" w:rsidRPr="00E942A5" w:rsidRDefault="00042072" w:rsidP="00042072">
                    <w:pPr>
                      <w:ind w:left="142"/>
                      <w:rPr>
                        <w:rFonts w:ascii="Noto Sans" w:hAnsi="Noto Sans" w:cs="Noto Sans"/>
                        <w:bCs/>
                        <w:sz w:val="14"/>
                        <w:szCs w:val="18"/>
                      </w:rPr>
                    </w:pPr>
                    <w:r w:rsidRPr="00E942A5">
                      <w:rPr>
                        <w:rFonts w:ascii="Noto Sans" w:hAnsi="Noto Sans" w:cs="Noto Sans"/>
                        <w:bCs/>
                        <w:sz w:val="14"/>
                        <w:szCs w:val="18"/>
                      </w:rPr>
                      <w:t>Dirección de Prestaciones Médicas.</w:t>
                    </w:r>
                  </w:p>
                  <w:p w14:paraId="22D7468B" w14:textId="77777777" w:rsidR="00042072" w:rsidRPr="00E942A5" w:rsidRDefault="00042072" w:rsidP="00042072">
                    <w:pPr>
                      <w:ind w:left="142"/>
                      <w:rPr>
                        <w:rFonts w:ascii="Noto Sans" w:hAnsi="Noto Sans" w:cs="Noto Sans"/>
                        <w:sz w:val="14"/>
                        <w:szCs w:val="18"/>
                      </w:rPr>
                    </w:pPr>
                    <w:r w:rsidRPr="00E942A5">
                      <w:rPr>
                        <w:rFonts w:ascii="Noto Sans" w:hAnsi="Noto Sans" w:cs="Noto Sans"/>
                        <w:sz w:val="14"/>
                        <w:szCs w:val="18"/>
                      </w:rPr>
                      <w:t>Coordinación de Unidades Médicas de Alta Especialidad</w:t>
                    </w:r>
                  </w:p>
                  <w:p w14:paraId="37B9F91F" w14:textId="77777777" w:rsidR="00042072" w:rsidRPr="00E942A5" w:rsidRDefault="00042072" w:rsidP="00042072">
                    <w:pPr>
                      <w:ind w:left="142"/>
                      <w:rPr>
                        <w:rFonts w:ascii="Noto Sans" w:hAnsi="Noto Sans" w:cs="Noto Sans"/>
                        <w:sz w:val="14"/>
                        <w:szCs w:val="18"/>
                        <w:lang w:val="pt-PT"/>
                      </w:rPr>
                    </w:pPr>
                    <w:r w:rsidRPr="00E942A5">
                      <w:rPr>
                        <w:rFonts w:ascii="Noto Sans" w:hAnsi="Noto Sans" w:cs="Noto Sans"/>
                        <w:sz w:val="14"/>
                        <w:szCs w:val="18"/>
                        <w:lang w:val="pt-PT"/>
                      </w:rPr>
                      <w:t>UMAE, Hospital de Especialidades, CMNO.</w:t>
                    </w:r>
                  </w:p>
                  <w:p w14:paraId="7496DDB2" w14:textId="77777777" w:rsidR="00042072" w:rsidRDefault="00042072" w:rsidP="00042072">
                    <w:pPr>
                      <w:ind w:left="142"/>
                      <w:rPr>
                        <w:rFonts w:ascii="Noto Sans" w:hAnsi="Noto Sans" w:cs="Noto Sans"/>
                        <w:sz w:val="14"/>
                        <w:szCs w:val="18"/>
                      </w:rPr>
                    </w:pPr>
                    <w:r w:rsidRPr="00E942A5">
                      <w:rPr>
                        <w:rFonts w:ascii="Noto Sans" w:hAnsi="Noto Sans" w:cs="Noto Sans"/>
                        <w:sz w:val="14"/>
                        <w:szCs w:val="18"/>
                      </w:rPr>
                      <w:t xml:space="preserve">"Lic. Ignacio García Téllez". </w:t>
                    </w:r>
                  </w:p>
                  <w:p w14:paraId="5AC3E1C9" w14:textId="77777777" w:rsidR="00042072" w:rsidRPr="00E942A5" w:rsidRDefault="00042072" w:rsidP="00042072">
                    <w:pPr>
                      <w:ind w:left="142"/>
                      <w:rPr>
                        <w:rFonts w:ascii="Noto Sans" w:hAnsi="Noto Sans" w:cs="Noto Sans"/>
                        <w:sz w:val="14"/>
                        <w:szCs w:val="18"/>
                      </w:rPr>
                    </w:pPr>
                    <w:r>
                      <w:rPr>
                        <w:rFonts w:ascii="Noto Sans" w:hAnsi="Noto Sans" w:cs="Noto Sans"/>
                        <w:sz w:val="14"/>
                        <w:szCs w:val="18"/>
                      </w:rPr>
                      <w:t>Dirección general</w:t>
                    </w:r>
                  </w:p>
                </w:txbxContent>
              </v:textbox>
              <w10:wrap type="square"/>
            </v:shape>
          </w:pict>
        </mc:Fallback>
      </mc:AlternateContent>
    </w:r>
    <w:r w:rsidRPr="00042072">
      <w:rPr>
        <w:noProof/>
        <w:lang w:val="es-MX" w:eastAsia="es-MX"/>
      </w:rPr>
      <w:drawing>
        <wp:anchor distT="0" distB="0" distL="114300" distR="114300" simplePos="0" relativeHeight="251667456" behindDoc="0" locked="0" layoutInCell="1" allowOverlap="1" wp14:anchorId="00B8D027" wp14:editId="4D160876">
          <wp:simplePos x="0" y="0"/>
          <wp:positionH relativeFrom="column">
            <wp:posOffset>-399415</wp:posOffset>
          </wp:positionH>
          <wp:positionV relativeFrom="paragraph">
            <wp:posOffset>314960</wp:posOffset>
          </wp:positionV>
          <wp:extent cx="1704975" cy="57404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4975" cy="574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3C54"/>
    <w:multiLevelType w:val="hybridMultilevel"/>
    <w:tmpl w:val="3C04DEC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nsid w:val="13B13268"/>
    <w:multiLevelType w:val="hybridMultilevel"/>
    <w:tmpl w:val="1646F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7661AE"/>
    <w:multiLevelType w:val="hybridMultilevel"/>
    <w:tmpl w:val="009EF7AE"/>
    <w:lvl w:ilvl="0" w:tplc="471EA748">
      <w:start w:val="1"/>
      <w:numFmt w:val="lowerLetter"/>
      <w:lvlText w:val="%1)"/>
      <w:lvlJc w:val="left"/>
      <w:pPr>
        <w:ind w:left="786"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186379C"/>
    <w:multiLevelType w:val="hybridMultilevel"/>
    <w:tmpl w:val="1B5E676E"/>
    <w:lvl w:ilvl="0" w:tplc="6C520A7E">
      <w:start w:val="1"/>
      <w:numFmt w:val="bullet"/>
      <w:lvlText w:val=""/>
      <w:lvlJc w:val="left"/>
      <w:pPr>
        <w:ind w:left="153" w:hanging="360"/>
      </w:pPr>
      <w:rPr>
        <w:rFonts w:ascii="Wingdings" w:hAnsi="Wingdings" w:hint="default"/>
        <w:b/>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
    <w:nsid w:val="7030231A"/>
    <w:multiLevelType w:val="hybridMultilevel"/>
    <w:tmpl w:val="B5AE81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73880A36"/>
    <w:multiLevelType w:val="hybridMultilevel"/>
    <w:tmpl w:val="283AA48E"/>
    <w:lvl w:ilvl="0" w:tplc="61C0828E">
      <w:start w:val="1"/>
      <w:numFmt w:val="lowerLetter"/>
      <w:lvlText w:val="%1)"/>
      <w:lvlJc w:val="left"/>
      <w:pPr>
        <w:ind w:left="644" w:hanging="360"/>
      </w:pPr>
      <w:rPr>
        <w:rFonts w:hint="default"/>
        <w:b/>
        <w:sz w:val="18"/>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24133"/>
    <w:rsid w:val="000246E2"/>
    <w:rsid w:val="00042072"/>
    <w:rsid w:val="000664AE"/>
    <w:rsid w:val="0008179C"/>
    <w:rsid w:val="000B2CE9"/>
    <w:rsid w:val="000B7321"/>
    <w:rsid w:val="000C077F"/>
    <w:rsid w:val="000C68A5"/>
    <w:rsid w:val="000C6D55"/>
    <w:rsid w:val="000D799D"/>
    <w:rsid w:val="000F6B98"/>
    <w:rsid w:val="00132E53"/>
    <w:rsid w:val="0015686D"/>
    <w:rsid w:val="00156A3E"/>
    <w:rsid w:val="00161740"/>
    <w:rsid w:val="0016179D"/>
    <w:rsid w:val="00173AE4"/>
    <w:rsid w:val="00180A38"/>
    <w:rsid w:val="00184325"/>
    <w:rsid w:val="001A01CD"/>
    <w:rsid w:val="001A4536"/>
    <w:rsid w:val="001D03E1"/>
    <w:rsid w:val="00204083"/>
    <w:rsid w:val="00230717"/>
    <w:rsid w:val="00234CFB"/>
    <w:rsid w:val="00240BA3"/>
    <w:rsid w:val="00245AFA"/>
    <w:rsid w:val="00255714"/>
    <w:rsid w:val="00256B1D"/>
    <w:rsid w:val="00272F4C"/>
    <w:rsid w:val="0029542D"/>
    <w:rsid w:val="00295A62"/>
    <w:rsid w:val="002B35B6"/>
    <w:rsid w:val="002B4C21"/>
    <w:rsid w:val="002D2166"/>
    <w:rsid w:val="002D2D54"/>
    <w:rsid w:val="002E2142"/>
    <w:rsid w:val="002F5B61"/>
    <w:rsid w:val="0030476A"/>
    <w:rsid w:val="00330DC8"/>
    <w:rsid w:val="0034338D"/>
    <w:rsid w:val="003603D5"/>
    <w:rsid w:val="00363222"/>
    <w:rsid w:val="00370465"/>
    <w:rsid w:val="00376CE4"/>
    <w:rsid w:val="00380136"/>
    <w:rsid w:val="003876E8"/>
    <w:rsid w:val="00392CFB"/>
    <w:rsid w:val="003B5E3E"/>
    <w:rsid w:val="003D416E"/>
    <w:rsid w:val="003E1335"/>
    <w:rsid w:val="0043100D"/>
    <w:rsid w:val="0045372C"/>
    <w:rsid w:val="00465393"/>
    <w:rsid w:val="00477F45"/>
    <w:rsid w:val="00486CEB"/>
    <w:rsid w:val="004A4C4E"/>
    <w:rsid w:val="004D146C"/>
    <w:rsid w:val="004D2D36"/>
    <w:rsid w:val="004F3AD1"/>
    <w:rsid w:val="00505652"/>
    <w:rsid w:val="005472CE"/>
    <w:rsid w:val="0055784E"/>
    <w:rsid w:val="005B7943"/>
    <w:rsid w:val="005C1A7C"/>
    <w:rsid w:val="005E043C"/>
    <w:rsid w:val="00626EE3"/>
    <w:rsid w:val="00631824"/>
    <w:rsid w:val="006322C1"/>
    <w:rsid w:val="00637478"/>
    <w:rsid w:val="00662C17"/>
    <w:rsid w:val="006C0425"/>
    <w:rsid w:val="006C3B4E"/>
    <w:rsid w:val="006D5C63"/>
    <w:rsid w:val="0070285D"/>
    <w:rsid w:val="00704C34"/>
    <w:rsid w:val="007151F4"/>
    <w:rsid w:val="00717D56"/>
    <w:rsid w:val="00731DD0"/>
    <w:rsid w:val="00735464"/>
    <w:rsid w:val="007411E0"/>
    <w:rsid w:val="007421E3"/>
    <w:rsid w:val="00771667"/>
    <w:rsid w:val="00780555"/>
    <w:rsid w:val="0078195E"/>
    <w:rsid w:val="007B74AD"/>
    <w:rsid w:val="007D4048"/>
    <w:rsid w:val="007D4C89"/>
    <w:rsid w:val="007D77D1"/>
    <w:rsid w:val="007E5888"/>
    <w:rsid w:val="007F519C"/>
    <w:rsid w:val="007F768E"/>
    <w:rsid w:val="00830D83"/>
    <w:rsid w:val="00831EE7"/>
    <w:rsid w:val="00834146"/>
    <w:rsid w:val="008A131A"/>
    <w:rsid w:val="008B6A8A"/>
    <w:rsid w:val="008D734E"/>
    <w:rsid w:val="008E1687"/>
    <w:rsid w:val="0090412A"/>
    <w:rsid w:val="009066A7"/>
    <w:rsid w:val="009068C0"/>
    <w:rsid w:val="00907F1C"/>
    <w:rsid w:val="00914303"/>
    <w:rsid w:val="009227CE"/>
    <w:rsid w:val="00932C27"/>
    <w:rsid w:val="00932DD6"/>
    <w:rsid w:val="00937C98"/>
    <w:rsid w:val="00942415"/>
    <w:rsid w:val="0095091C"/>
    <w:rsid w:val="009A725F"/>
    <w:rsid w:val="009B19AF"/>
    <w:rsid w:val="009C12D6"/>
    <w:rsid w:val="009F2BA1"/>
    <w:rsid w:val="009F6450"/>
    <w:rsid w:val="00A07674"/>
    <w:rsid w:val="00A301D7"/>
    <w:rsid w:val="00A73D65"/>
    <w:rsid w:val="00A82988"/>
    <w:rsid w:val="00A8622B"/>
    <w:rsid w:val="00A90FF4"/>
    <w:rsid w:val="00A94E49"/>
    <w:rsid w:val="00AA32BB"/>
    <w:rsid w:val="00AB1900"/>
    <w:rsid w:val="00AB1944"/>
    <w:rsid w:val="00AC0421"/>
    <w:rsid w:val="00AC46BC"/>
    <w:rsid w:val="00AF2454"/>
    <w:rsid w:val="00B30A3E"/>
    <w:rsid w:val="00B72D65"/>
    <w:rsid w:val="00B87C85"/>
    <w:rsid w:val="00BA34A4"/>
    <w:rsid w:val="00BA3F2A"/>
    <w:rsid w:val="00BB21A6"/>
    <w:rsid w:val="00BB2DFF"/>
    <w:rsid w:val="00BC056A"/>
    <w:rsid w:val="00BC43BD"/>
    <w:rsid w:val="00C02E98"/>
    <w:rsid w:val="00C11CDB"/>
    <w:rsid w:val="00C17C20"/>
    <w:rsid w:val="00C23B9E"/>
    <w:rsid w:val="00C279A3"/>
    <w:rsid w:val="00C30849"/>
    <w:rsid w:val="00C31453"/>
    <w:rsid w:val="00C465FE"/>
    <w:rsid w:val="00C67047"/>
    <w:rsid w:val="00C90CED"/>
    <w:rsid w:val="00C94459"/>
    <w:rsid w:val="00C97FD5"/>
    <w:rsid w:val="00CA5623"/>
    <w:rsid w:val="00CB7235"/>
    <w:rsid w:val="00CB7D4F"/>
    <w:rsid w:val="00CD03E9"/>
    <w:rsid w:val="00CD399A"/>
    <w:rsid w:val="00CD56C1"/>
    <w:rsid w:val="00CE3E99"/>
    <w:rsid w:val="00CE6FA1"/>
    <w:rsid w:val="00CF4253"/>
    <w:rsid w:val="00D01DC9"/>
    <w:rsid w:val="00D1354D"/>
    <w:rsid w:val="00D157FC"/>
    <w:rsid w:val="00D44BC3"/>
    <w:rsid w:val="00D53655"/>
    <w:rsid w:val="00D60818"/>
    <w:rsid w:val="00D70CE1"/>
    <w:rsid w:val="00D84E05"/>
    <w:rsid w:val="00DA1B19"/>
    <w:rsid w:val="00DA6CEE"/>
    <w:rsid w:val="00DA7320"/>
    <w:rsid w:val="00DB53A4"/>
    <w:rsid w:val="00DD4125"/>
    <w:rsid w:val="00E13E29"/>
    <w:rsid w:val="00E155A4"/>
    <w:rsid w:val="00E55EA0"/>
    <w:rsid w:val="00E65749"/>
    <w:rsid w:val="00E93867"/>
    <w:rsid w:val="00EB407F"/>
    <w:rsid w:val="00EE053F"/>
    <w:rsid w:val="00EF3CA4"/>
    <w:rsid w:val="00F2031D"/>
    <w:rsid w:val="00F24915"/>
    <w:rsid w:val="00F24A7E"/>
    <w:rsid w:val="00F3790F"/>
    <w:rsid w:val="00F401F9"/>
    <w:rsid w:val="00F43431"/>
    <w:rsid w:val="00F51FD4"/>
    <w:rsid w:val="00F745B2"/>
    <w:rsid w:val="00F804DF"/>
    <w:rsid w:val="00F84964"/>
    <w:rsid w:val="00F86D05"/>
    <w:rsid w:val="00F923C3"/>
    <w:rsid w:val="00F9443C"/>
    <w:rsid w:val="00F945F2"/>
    <w:rsid w:val="00FA1218"/>
    <w:rsid w:val="00FC1D03"/>
    <w:rsid w:val="00FD754F"/>
    <w:rsid w:val="00FD75E1"/>
    <w:rsid w:val="00FE3428"/>
    <w:rsid w:val="00FF06FA"/>
    <w:rsid w:val="00FF23A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B1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F51FD4"/>
    <w:pPr>
      <w:ind w:left="720"/>
      <w:contextualSpacing/>
    </w:pPr>
  </w:style>
  <w:style w:type="table" w:styleId="Tablaconcuadrcula">
    <w:name w:val="Table Grid"/>
    <w:basedOn w:val="Tablanormal"/>
    <w:uiPriority w:val="59"/>
    <w:rsid w:val="00735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15686D"/>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603D5"/>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independiente21">
    <w:name w:val="Texto independiente 21"/>
    <w:aliases w:val="Sangría de t. independiente,Body Text 21,Body Text 2"/>
    <w:basedOn w:val="Normal"/>
    <w:rsid w:val="00EF3CA4"/>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F51FD4"/>
    <w:pPr>
      <w:ind w:left="720"/>
      <w:contextualSpacing/>
    </w:pPr>
  </w:style>
  <w:style w:type="table" w:styleId="Tablaconcuadrcula">
    <w:name w:val="Table Grid"/>
    <w:basedOn w:val="Tablanormal"/>
    <w:uiPriority w:val="59"/>
    <w:rsid w:val="00735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15686D"/>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3603D5"/>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independiente21">
    <w:name w:val="Texto independiente 21"/>
    <w:aliases w:val="Sangría de t. independiente,Body Text 21,Body Text 2"/>
    <w:basedOn w:val="Normal"/>
    <w:rsid w:val="00EF3CA4"/>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21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C05317-3ABF-4124-8746-8ABC6C112207}">
  <ds:schemaRefs>
    <ds:schemaRef ds:uri="http://schemas.microsoft.com/sharepoint/v3/contenttype/forms"/>
  </ds:schemaRefs>
</ds:datastoreItem>
</file>

<file path=customXml/itemProps2.xml><?xml version="1.0" encoding="utf-8"?>
<ds:datastoreItem xmlns:ds="http://schemas.openxmlformats.org/officeDocument/2006/customXml" ds:itemID="{FE540342-CFEB-42DB-990B-E6CA5818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9ABE50-9F00-44D6-80BE-F4AF58E2BCC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1327</Words>
  <Characters>7303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Aurora Marisol Famoso Avila</cp:lastModifiedBy>
  <cp:revision>7</cp:revision>
  <cp:lastPrinted>2025-05-27T21:09:00Z</cp:lastPrinted>
  <dcterms:created xsi:type="dcterms:W3CDTF">2025-04-29T14:13:00Z</dcterms:created>
  <dcterms:modified xsi:type="dcterms:W3CDTF">2025-06-09T21:07:00Z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