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bookmarkStart w:id="0" w:name="_GoBack"/>
      <w:bookmarkEnd w:id="0"/>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1B9D5A9D"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F43E69" w:rsidRPr="00F43E69">
        <w:rPr>
          <w:rFonts w:ascii="Montserrat" w:hAnsi="Montserrat"/>
          <w:b/>
          <w:color w:val="000000"/>
          <w:sz w:val="20"/>
          <w:szCs w:val="20"/>
          <w:lang w:eastAsia="es-MX"/>
        </w:rPr>
        <w:t xml:space="preserve">ADQUISICIÓN DE </w:t>
      </w:r>
      <w:r w:rsidR="00813135">
        <w:rPr>
          <w:rFonts w:ascii="Montserrat" w:hAnsi="Montserrat"/>
          <w:b/>
          <w:color w:val="000000"/>
          <w:sz w:val="20"/>
          <w:szCs w:val="20"/>
          <w:lang w:eastAsia="es-MX"/>
        </w:rPr>
        <w:t>MATERIAL DE CURACION FOCON 36 PARA EL EJERCICIO 2024</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sidR="00970235">
        <w:rPr>
          <w:rFonts w:ascii="Montserrat" w:hAnsi="Montserrat"/>
          <w:b/>
          <w:sz w:val="20"/>
          <w:szCs w:val="20"/>
        </w:rPr>
        <w:t>44</w:t>
      </w:r>
      <w:r w:rsidR="00E46BED">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440E78E7"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970235">
        <w:rPr>
          <w:rFonts w:ascii="Montserrat" w:hAnsi="Montserrat" w:cs="Arial"/>
          <w:b/>
          <w:i/>
          <w:sz w:val="20"/>
          <w:szCs w:val="20"/>
        </w:rPr>
        <w:t xml:space="preserve"> mismo que comprenderá del </w:t>
      </w:r>
      <w:r w:rsidR="00813135">
        <w:rPr>
          <w:rFonts w:ascii="Montserrat" w:hAnsi="Montserrat" w:cs="Arial"/>
          <w:b/>
          <w:i/>
          <w:sz w:val="20"/>
          <w:szCs w:val="20"/>
        </w:rPr>
        <w:t>12 al 19</w:t>
      </w:r>
      <w:r>
        <w:rPr>
          <w:rFonts w:ascii="Montserrat" w:hAnsi="Montserrat" w:cs="Arial"/>
          <w:b/>
          <w:i/>
          <w:sz w:val="20"/>
          <w:szCs w:val="20"/>
        </w:rPr>
        <w:t xml:space="preserve"> de </w:t>
      </w:r>
      <w:r w:rsidR="001B2E1C">
        <w:rPr>
          <w:rFonts w:ascii="Montserrat" w:hAnsi="Montserrat" w:cs="Arial"/>
          <w:b/>
          <w:i/>
          <w:sz w:val="20"/>
          <w:szCs w:val="20"/>
        </w:rPr>
        <w:t>julio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5872E8CB"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813135">
        <w:rPr>
          <w:rFonts w:ascii="Montserrat" w:hAnsi="Montserrat"/>
          <w:b/>
          <w:sz w:val="20"/>
          <w:szCs w:val="20"/>
        </w:rPr>
        <w:t>0000124142-2024</w:t>
      </w:r>
    </w:p>
    <w:p w14:paraId="537B19D7" w14:textId="4F2D896A" w:rsidR="00D2036C" w:rsidRDefault="00D2036C" w:rsidP="00E46BED">
      <w:pPr>
        <w:jc w:val="both"/>
        <w:rPr>
          <w:rFonts w:ascii="Montserrat" w:hAnsi="Montserrat"/>
          <w:b/>
          <w:sz w:val="20"/>
          <w:szCs w:val="20"/>
        </w:rPr>
      </w:pPr>
    </w:p>
    <w:p w14:paraId="20FD9714" w14:textId="77777777" w:rsidR="00E46BED" w:rsidRDefault="00E46BED" w:rsidP="00E46BED">
      <w:pPr>
        <w:jc w:val="both"/>
        <w:rPr>
          <w:rFonts w:ascii="Montserrat" w:hAnsi="Montserrat"/>
          <w:b/>
          <w:sz w:val="20"/>
          <w:szCs w:val="20"/>
        </w:rPr>
      </w:pPr>
    </w:p>
    <w:p w14:paraId="3B999F80" w14:textId="77777777" w:rsidR="00E46BED" w:rsidRDefault="00E46BED" w:rsidP="00E46BED">
      <w:pPr>
        <w:jc w:val="both"/>
        <w:rPr>
          <w:rFonts w:ascii="Montserrat" w:hAnsi="Montserrat"/>
          <w:b/>
          <w:sz w:val="20"/>
          <w:szCs w:val="20"/>
        </w:rPr>
      </w:pP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125F2F9B"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970235">
        <w:rPr>
          <w:rFonts w:ascii="Montserrat" w:hAnsi="Montserrat" w:cs="Arial"/>
          <w:b/>
          <w:sz w:val="20"/>
          <w:szCs w:val="20"/>
        </w:rPr>
        <w:t>09</w:t>
      </w:r>
      <w:r>
        <w:rPr>
          <w:rFonts w:ascii="Montserrat" w:hAnsi="Montserrat" w:cs="Arial"/>
          <w:b/>
          <w:sz w:val="20"/>
          <w:szCs w:val="20"/>
        </w:rPr>
        <w:t>:00</w:t>
      </w:r>
      <w:r w:rsidRPr="008F171E">
        <w:rPr>
          <w:rFonts w:ascii="Montserrat" w:hAnsi="Montserrat" w:cs="Arial"/>
          <w:b/>
          <w:sz w:val="20"/>
          <w:szCs w:val="20"/>
        </w:rPr>
        <w:t xml:space="preserve"> horas, el día </w:t>
      </w:r>
      <w:r w:rsidR="00813135">
        <w:rPr>
          <w:rFonts w:ascii="Montserrat" w:hAnsi="Montserrat" w:cs="Arial"/>
          <w:b/>
          <w:sz w:val="20"/>
          <w:szCs w:val="20"/>
        </w:rPr>
        <w:t xml:space="preserve">10 </w:t>
      </w:r>
      <w:r>
        <w:rPr>
          <w:rFonts w:ascii="Montserrat" w:hAnsi="Montserrat" w:cs="Arial"/>
          <w:b/>
          <w:sz w:val="20"/>
          <w:szCs w:val="20"/>
        </w:rPr>
        <w:t xml:space="preserve">de </w:t>
      </w:r>
      <w:r w:rsidR="00970235">
        <w:rPr>
          <w:rFonts w:ascii="Montserrat" w:hAnsi="Montserrat" w:cs="Arial"/>
          <w:b/>
          <w:sz w:val="20"/>
          <w:szCs w:val="20"/>
        </w:rPr>
        <w:t>julio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142BED27"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813135">
        <w:rPr>
          <w:rFonts w:ascii="Montserrat" w:hAnsi="Montserrat" w:cs="Arial"/>
          <w:b/>
          <w:sz w:val="20"/>
          <w:szCs w:val="20"/>
        </w:rPr>
        <w:t>4</w:t>
      </w:r>
      <w:r>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813135">
        <w:rPr>
          <w:rFonts w:ascii="Montserrat" w:hAnsi="Montserrat" w:cs="Arial"/>
          <w:b/>
          <w:sz w:val="20"/>
          <w:szCs w:val="20"/>
        </w:rPr>
        <w:t>11</w:t>
      </w:r>
      <w:r w:rsidR="001B2E1C">
        <w:rPr>
          <w:rFonts w:ascii="Montserrat" w:hAnsi="Montserrat" w:cs="Arial"/>
          <w:b/>
          <w:sz w:val="20"/>
          <w:szCs w:val="20"/>
        </w:rPr>
        <w:t xml:space="preserve"> </w:t>
      </w:r>
      <w:r w:rsidR="00970235">
        <w:rPr>
          <w:rFonts w:ascii="Montserrat" w:hAnsi="Montserrat" w:cs="Arial"/>
          <w:b/>
          <w:sz w:val="20"/>
          <w:szCs w:val="20"/>
        </w:rPr>
        <w:t>de jul</w:t>
      </w:r>
      <w:r w:rsidR="001B2E1C">
        <w:rPr>
          <w:rFonts w:ascii="Montserrat" w:hAnsi="Montserrat" w:cs="Arial"/>
          <w:b/>
          <w:sz w:val="20"/>
          <w:szCs w:val="20"/>
        </w:rPr>
        <w:t>io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lastRenderedPageBreak/>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lastRenderedPageBreak/>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lastRenderedPageBreak/>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lastRenderedPageBreak/>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35CF7324" w14:textId="77777777" w:rsidR="00D2036C" w:rsidRDefault="00D2036C" w:rsidP="003447DF">
      <w:pPr>
        <w:pStyle w:val="Encabezado"/>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849"/>
        <w:gridCol w:w="3845"/>
        <w:gridCol w:w="1828"/>
        <w:gridCol w:w="1164"/>
        <w:gridCol w:w="1142"/>
      </w:tblGrid>
      <w:tr w:rsidR="003447DF" w:rsidRPr="003447DF" w14:paraId="1CA79967" w14:textId="77777777" w:rsidTr="003447DF">
        <w:trPr>
          <w:trHeight w:val="600"/>
        </w:trPr>
        <w:tc>
          <w:tcPr>
            <w:tcW w:w="941"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4453133"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CLAVE </w:t>
            </w:r>
          </w:p>
        </w:tc>
        <w:tc>
          <w:tcPr>
            <w:tcW w:w="1956" w:type="pct"/>
            <w:tcBorders>
              <w:top w:val="single" w:sz="8" w:space="0" w:color="auto"/>
              <w:left w:val="nil"/>
              <w:bottom w:val="single" w:sz="8" w:space="0" w:color="auto"/>
              <w:right w:val="single" w:sz="8" w:space="0" w:color="auto"/>
            </w:tcBorders>
            <w:shd w:val="clear" w:color="000000" w:fill="000000"/>
            <w:vAlign w:val="center"/>
            <w:hideMark/>
          </w:tcPr>
          <w:p w14:paraId="1D7D76F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DESCRIPCION </w:t>
            </w:r>
          </w:p>
        </w:tc>
        <w:tc>
          <w:tcPr>
            <w:tcW w:w="930" w:type="pct"/>
            <w:tcBorders>
              <w:top w:val="single" w:sz="8" w:space="0" w:color="auto"/>
              <w:left w:val="nil"/>
              <w:bottom w:val="single" w:sz="8" w:space="0" w:color="auto"/>
              <w:right w:val="single" w:sz="8" w:space="0" w:color="auto"/>
            </w:tcBorders>
            <w:shd w:val="clear" w:color="000000" w:fill="000000"/>
            <w:vAlign w:val="center"/>
            <w:hideMark/>
          </w:tcPr>
          <w:p w14:paraId="714A1BA0"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PRESENT. </w:t>
            </w:r>
          </w:p>
        </w:tc>
        <w:tc>
          <w:tcPr>
            <w:tcW w:w="592" w:type="pct"/>
            <w:tcBorders>
              <w:top w:val="single" w:sz="8" w:space="0" w:color="auto"/>
              <w:left w:val="nil"/>
              <w:bottom w:val="single" w:sz="8" w:space="0" w:color="auto"/>
              <w:right w:val="single" w:sz="8" w:space="0" w:color="auto"/>
            </w:tcBorders>
            <w:shd w:val="clear" w:color="000000" w:fill="000000"/>
            <w:vAlign w:val="center"/>
            <w:hideMark/>
          </w:tcPr>
          <w:p w14:paraId="4312BBE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MIN. </w:t>
            </w:r>
          </w:p>
        </w:tc>
        <w:tc>
          <w:tcPr>
            <w:tcW w:w="581" w:type="pct"/>
            <w:tcBorders>
              <w:top w:val="single" w:sz="8" w:space="0" w:color="auto"/>
              <w:left w:val="nil"/>
              <w:bottom w:val="single" w:sz="8" w:space="0" w:color="auto"/>
              <w:right w:val="single" w:sz="8" w:space="0" w:color="auto"/>
            </w:tcBorders>
            <w:shd w:val="clear" w:color="000000" w:fill="000000"/>
            <w:vAlign w:val="center"/>
            <w:hideMark/>
          </w:tcPr>
          <w:p w14:paraId="40BFE456"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MAX. </w:t>
            </w:r>
          </w:p>
        </w:tc>
      </w:tr>
      <w:tr w:rsidR="003447DF" w:rsidRPr="003447DF" w14:paraId="17F99485" w14:textId="77777777" w:rsidTr="003447DF">
        <w:trPr>
          <w:trHeight w:val="518"/>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B4B5F2"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060 004 0109 00 04</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3B4E13B"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ABATELENGUAS DE MADERA, DESECHABLES. LARGO: 142.0 MM, ANCHO: 18.0 MM. ENVASE CON 500 PIEZAS.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D313F84"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755E95C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48A5B41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14</w:t>
            </w:r>
          </w:p>
        </w:tc>
      </w:tr>
      <w:tr w:rsidR="003447DF" w:rsidRPr="003447DF" w14:paraId="5391F439" w14:textId="77777777" w:rsidTr="003447DF">
        <w:trPr>
          <w:trHeight w:val="67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C3697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060 066 0906 06 01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FB1C815"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ANTISEPTICOS. GEL ANTISEPTICO PARA MANOS QUE NO REQUIERE ENJUAGUE. FORMULADO A  BASE DE ALCOHOL ETILICO DE 60-80% W/W; ADICIONADO CON HUMECTANTES Y  EMOLIENTES; HIPOALERGENICO. ENVASE CON 500 ML.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72559CE6"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ML.</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59712A8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30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65784F9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30</w:t>
            </w:r>
          </w:p>
        </w:tc>
      </w:tr>
      <w:tr w:rsidR="003447DF" w:rsidRPr="003447DF" w14:paraId="6C886828" w14:textId="77777777" w:rsidTr="003447DF">
        <w:trPr>
          <w:trHeight w:val="232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531A88"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060 066 0930 00 00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C2D957F"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DETERGENTES O LIMPIADORES. DETERGENTE O LIMPIADOR POLIENZIMATICO NO IONICO O CATIONICO, A BASE DE ALCOHOL ISOPROPILICO O DERIVADOS DEL AMONIO CUATERNARIO, CON PH QUE ASEGURE EL EFECTO OPTIMO DE LAS ENZIMAS.  PARA USO MANUAL Y/O LAVADORA AUTOMATICA, Y/O LAVADORA ULTRASONICA. ENVASE CON 1 A 5 LITROS DE SOLUCION CONCENTRADA. LA DILUCION Y EL EMPLEO DEL PRODUCTO CONCENTRADO SERAN DE ACUERDO CON LAS INSTRUCCIONES DEL FABRICANTE. SE DEBERA TOMAR EN CONSIDERACION EL RANGO MAS ALTO DE LA DILUCION RECOMENDADA POR EL FABRICANTE. DEBIDO A LO AMPLIO DE LA DESCRIPCION ESTA CLAVE DEBERA SOLICITARSE POR LA CANTIDAD DE LITROS DEL DETERGENTE LISTO PARA SU USO.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BCCE48E"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ENV</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0E68F70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16</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6BD8858D"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16</w:t>
            </w:r>
          </w:p>
        </w:tc>
      </w:tr>
      <w:tr w:rsidR="003447DF" w:rsidRPr="003447DF" w14:paraId="2A124CEA" w14:textId="77777777" w:rsidTr="003447DF">
        <w:trPr>
          <w:trHeight w:val="133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10C323"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060 066 1441 00 01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61AF240"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DESINFECTANTE DE ALTO NIVEL CONCENTRADO EN FORMA LIQUIDA, TRANSPARENTE, ELABORADO A BASE DE CLORHIDRATO DE POLI HEXAMETILEN BIGUANIDA (PHMB) Y UN COMPLEJO DE SALES DE AMONIO DE CARACTER CATIONICO QUE PRESENTA ACCION RAPIDA Y ACTIVIDAD ANTIMICROBIANA PARA ELIMINAR VIRUS, BACTERIAS Y ORGANISMOS COMO AMIBAS. ENVASE DE POLIETILENO DE ALTA DENSIDAD CON: 1 LITRO.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12CC679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LTO</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46AF5D6E"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30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50A020A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30</w:t>
            </w:r>
          </w:p>
        </w:tc>
      </w:tr>
      <w:tr w:rsidR="003447DF" w:rsidRPr="003447DF" w14:paraId="709EBA2B"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1D6C1A"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060 088 0025 14 01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52C8D2AC"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APOSITOS, TRANSPARENTE, MICROPOROSO, AUTOADHERIBLES, ESTERILES Y DESECHABLES. MEDIDAS: 10.0 CM A 10.16 X 12.0 A 14.0 CM.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7D46F748"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26898D74"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193</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6045E3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193</w:t>
            </w:r>
          </w:p>
        </w:tc>
      </w:tr>
      <w:tr w:rsidR="003447DF" w:rsidRPr="003447DF" w14:paraId="4CEAB9BE"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58F630"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060 088 0835 01 01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33E95EF0"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APOSITOS. CON BARRERA ANTIMICROBIANA. ESTERIL Y DESECHABLE. 40 CM X 20 CM A 40 CM. ENVASE CON 6 PIEZAS.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1AEBEC5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67D58BB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65D8602"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r>
      <w:tr w:rsidR="003447DF" w:rsidRPr="003447DF" w14:paraId="57C7E31C" w14:textId="77777777" w:rsidTr="003447DF">
        <w:trPr>
          <w:trHeight w:val="133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E47EA5"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060 125 1879 00 02</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FDB6ADD"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BOLSAS. SISTEMA PARA RECOLECCION DE ORINA; ESTERIL, RECTANGULAR O TRIANGULAR DE CLORURO DE POLIVINILO CON ESCALA GRADUADA, GRADUACIONES CADA 200 ML, EL SISTEMA DE DRENAJE DEBE SER UN CIRCUITO CERRADO CON LAS SIGUIENTES CARACTERISTICAS: CON SITIO PARA TOMA DE MUESTRAS, DISPOSITIVO ANTIRREFLUJO Y PINZA EN EL TUBO DE VACIADO. CAPACIDAD: 2000 ML.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2F9F81D8"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154501F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970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1369AABD"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970</w:t>
            </w:r>
          </w:p>
        </w:tc>
      </w:tr>
      <w:tr w:rsidR="003447DF" w:rsidRPr="003447DF" w14:paraId="044F3B46" w14:textId="77777777" w:rsidTr="003447DF">
        <w:trPr>
          <w:trHeight w:val="84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A6089D5"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060 125 2844 13 01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54946FFE"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BOLSAS. BOLSA DE PAPEL GRADO MEDICO. PARA ESTERILIZAR CON GAS O VAPOR. CON O SIN TRATAMIENTO ANTIBACTERIANO. CON REACTIVO QUIMICO IMPRESO Y SISTEMA DE APERTURA. MEDIDAS: 32.0 X 62.0 X 12.0 CM. ENVASE CON 250 PIEZAS.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5D994547"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5C03A51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8</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12E207B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8</w:t>
            </w:r>
          </w:p>
        </w:tc>
      </w:tr>
      <w:tr w:rsidR="003447DF" w:rsidRPr="003447DF" w14:paraId="111BC3F0" w14:textId="77777777" w:rsidTr="003447DF">
        <w:trPr>
          <w:trHeight w:val="34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EA19197"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060 132 0054 00 00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75B51A7"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BRAZALETES. PARA IDENTIFICACION. DE PLASTICO. ADULTO. ENVASE CON 100 PIEZAS.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155860FE"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7A8DA44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26E3ED8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22</w:t>
            </w:r>
          </w:p>
        </w:tc>
      </w:tr>
      <w:tr w:rsidR="003447DF" w:rsidRPr="003447DF" w14:paraId="59F4191D" w14:textId="77777777" w:rsidTr="003447DF">
        <w:trPr>
          <w:trHeight w:val="84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387FA3"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060 165 0443 00 00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1F858BEC"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18 FR. DIAMETRO EXTERNO DE INFLADO DEL BALON 6-7-8 MM.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6155B26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2FA8FE51"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131436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10</w:t>
            </w:r>
          </w:p>
        </w:tc>
      </w:tr>
      <w:tr w:rsidR="003447DF" w:rsidRPr="003447DF" w14:paraId="3B24A675" w14:textId="77777777" w:rsidTr="003447DF">
        <w:trPr>
          <w:trHeight w:val="84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74650D"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060 165 0450 00 00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05557CD"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24 FR. DIAMETRO EXTERNO DE INFLADO DEL BALON 8-9-10 MM.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6516102A"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1A76FA0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6163579A"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r>
      <w:tr w:rsidR="003447DF" w:rsidRPr="003447DF" w14:paraId="420DF10A" w14:textId="77777777" w:rsidTr="003447DF">
        <w:trPr>
          <w:trHeight w:val="117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12A57B"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lastRenderedPageBreak/>
              <w:t>060 165 0492 00 00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E632464"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48 FR. DIAMETRO EXTERNO DE INFLADO DEL BALON 15-16.5-18 MM. PIEZA. LAS UNIDADES MEDICAS DEBERAN SELECCIONAR LAS MEDIDAS DE ACUERDO A SUS NECESIDADES.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C77FFD2"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329DFFE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726FB20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r>
      <w:tr w:rsidR="003447DF" w:rsidRPr="003447DF" w14:paraId="3E564BF9" w14:textId="77777777" w:rsidTr="003447DF">
        <w:trPr>
          <w:trHeight w:val="117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BE4EA85"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060 165 0500 00 00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805BAA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CATETERES. CATETER PARA DILATACION DE PILORO DE 180 CM DE LONGITUD Y BALON DE 5.5 CM DE LONGITUD. ESTERIL Y DESECHABLE. CALIBRE DEL CATETER: 54 FR. DIAMETRO EXTERNO DE INFLADO DEL BALON 15-16.5-18 MM. PIEZA. LAS UNIDADES MEDICAS DEBERAN SELECCIONAR LAS MEDIDAS DE ACUERDO A SUS NECESIDADES.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5ED62CF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59882EE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587C9468"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24</w:t>
            </w:r>
          </w:p>
        </w:tc>
      </w:tr>
      <w:tr w:rsidR="003447DF" w:rsidRPr="003447DF" w14:paraId="132234F9"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AD6268"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060 167 3346 07 01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9A4E62F"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CANULAS OROFARINGEAS. DE PLASTICO TRANSPARENTE O TRANSLUCIDO. TIPO: GUEDEL/BERMAN. TAMAÑO: 5 LONGITUD: 100 MM.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161F479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490AD76E"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200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3FF773C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200</w:t>
            </w:r>
          </w:p>
        </w:tc>
      </w:tr>
      <w:tr w:rsidR="003447DF" w:rsidRPr="003447DF" w14:paraId="59452009" w14:textId="77777777" w:rsidTr="003447DF">
        <w:trPr>
          <w:trHeight w:val="67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57027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060 168 1430 11 01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7F061FB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TUBOS. ENDOTRAQUEALES DE PLASTICO GRADO MEDICO TRANSPARENTE. CON GLOBO Y ESPIRAL DE ALAMBRE CON BALON Y CONECTOR RADIOPACO ESTERIL. LONGITUD: 32-36 CM CALIBRE: 32 FR.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28FB87D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5496631F"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28658251"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22</w:t>
            </w:r>
          </w:p>
        </w:tc>
      </w:tr>
      <w:tr w:rsidR="003447DF" w:rsidRPr="003447DF" w14:paraId="7BAFFE00" w14:textId="77777777" w:rsidTr="003447DF">
        <w:trPr>
          <w:trHeight w:val="133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EAE577"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060 168 2511 11 01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D71EB2A"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TUBOS. ENDOTRAQUEALES. DE PLASTICO GRADO MEDICO CON MARCA RADIOPACA ESTERILES DESECHABLES CON GLOBO DE ALTO VOLUMEN Y BAJA PRESION INCLUYE UNA VALVULA UN CONECTOR Y UNA ESCALA EN MM PARA DETERMINAR LA PROFUNDIDAD DE LA COLOCACION DEL TUBO. CON ORIFICIO. TIPO: MURPHY. EMPAQUE INDIVIDUAL. DIAMETRO INTERNO: 7.0 MM CALIBRE: 28 FR.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66575112"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3ECDFCD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44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7F6909F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44</w:t>
            </w:r>
          </w:p>
        </w:tc>
      </w:tr>
      <w:tr w:rsidR="003447DF" w:rsidRPr="003447DF" w14:paraId="35FCAB30"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9B04BE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060 168 6652 00 00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6B5C80CE"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SONDA. PARA DRENAJE URINARIO DE LATEX, PUNTA REDONDA. TIPO NELATON. LONGITUD. 40 CM CALIBRE 16 FR.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56C65F4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13417412"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510E8B2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124</w:t>
            </w:r>
          </w:p>
        </w:tc>
      </w:tr>
      <w:tr w:rsidR="003447DF" w:rsidRPr="003447DF" w14:paraId="08A3DD96" w14:textId="77777777" w:rsidTr="003447DF">
        <w:trPr>
          <w:trHeight w:val="117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401260"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060 168 6686 12 01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6A0DC0B8"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CATETERES. PARA VENOCLISIS. DE FLUOROPOLIMEROS (POLITETRAFLUORETILENO FLUORETILENPROPILENO Y ETILENTRIFLUORETILENO) O POLIURETANO RADIOPACO CON AGUJA. LONGITUD: 23-27 MM CALIBRE: 22 G. ENVASE CON 50 PIEZAS. *PARA LA ADQUISICION DE ESTAS CLAVES DEBERA ACATARSE EL MATERIAL ESPECIFICO QUE SOLICITE CADA INSTITUCION.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2CA7368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25E2964E"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115</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0AD04F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115</w:t>
            </w:r>
          </w:p>
        </w:tc>
      </w:tr>
      <w:tr w:rsidR="003447DF" w:rsidRPr="003447DF" w14:paraId="3FD39E9A" w14:textId="77777777" w:rsidTr="003447DF">
        <w:trPr>
          <w:trHeight w:val="34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7867E9"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060 233 0052 11 01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53371F43"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CONECTORES. DE UNA VIA. DE PLASTICO DESECHABLES. TIPO: SIMS. GRUESO.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04B725B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012ED3DF"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1238</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7C82C52F"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1238</w:t>
            </w:r>
          </w:p>
        </w:tc>
      </w:tr>
      <w:tr w:rsidR="003447DF" w:rsidRPr="003447DF" w14:paraId="10617FA3" w14:textId="77777777" w:rsidTr="003447DF">
        <w:trPr>
          <w:trHeight w:val="100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7848FF"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060 314 0054 00 00</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5952A51"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EQUIPOS. PARA DRENAJE DE LA CAVIDAD PLEURAL. CON TRES CAMARAS PARA SELLO DE AGUA, SUCCION Y COLECCION DE LIQUIDOS. CON DOS VALVULAS DE SEGURIDAD DE ALTA PRESION POSITIVA Y NEGATIVA. ESTERIL Y DESECHABLE. CAPACIDAD 2100 A 2500 ML. EQUIPO.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6852A6F"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EQP</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7DB9C95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48</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5B6D6FA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48</w:t>
            </w:r>
          </w:p>
        </w:tc>
      </w:tr>
      <w:tr w:rsidR="003447DF" w:rsidRPr="003447DF" w14:paraId="140F4CDF" w14:textId="77777777" w:rsidTr="003447DF">
        <w:trPr>
          <w:trHeight w:val="84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76A5082"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060 346 0015 00 02</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149F38DC"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ESFINTEROTOMOS. ESFINTEROTOMO PARA VIAS BILIARES DE TRIPLE LUMEN CALIBRE DEL CATETER 5.5 A 7 FR CON PUNTA DISTAL CORTA O LARGA DE 5 MM O 20 MM Y 200 CM DE LONGITUD. ESTERIL Y DESECHABLE. CON AREA DE CORTE DE: 20 A 25 MM.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3B551B27"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4AFF68B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34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4361A54D"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34</w:t>
            </w:r>
          </w:p>
        </w:tc>
      </w:tr>
      <w:tr w:rsidR="003447DF" w:rsidRPr="003447DF" w14:paraId="6FB6A021"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A04CEF2"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060 470 0112 12 01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1583DBC7"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HEMOSTATICOS. ESPONJA HEMOSTATICA DE GELATINA O COLAGENO DE: 50 A 100 X 70 A 125 MM. ENVASE CON UNA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7E932E2A"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6F5F0F6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280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2CDE859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280</w:t>
            </w:r>
          </w:p>
        </w:tc>
      </w:tr>
      <w:tr w:rsidR="003447DF" w:rsidRPr="003447DF" w14:paraId="6B221B67" w14:textId="77777777" w:rsidTr="003447DF">
        <w:trPr>
          <w:trHeight w:val="34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2A0261"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060 506 2736 02 01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2AA2EC4"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INJERTOS. INJERTO DE EPIDERMIS HUMANA CULTIVADO IN VITRO CONGELADO. ESTERIL. TAMAÑO: 56 CM2.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55D0BB6A"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43B2C3C7"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780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3C0D73D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780</w:t>
            </w:r>
          </w:p>
        </w:tc>
      </w:tr>
      <w:tr w:rsidR="003447DF" w:rsidRPr="003447DF" w14:paraId="2BA95820" w14:textId="77777777" w:rsidTr="003447DF">
        <w:trPr>
          <w:trHeight w:val="34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823AE0"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060 532 0084 11 01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1D1971FA"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EQUIPOS. PARA VENOCLISIS. SIN AGUJA ESTERILES DESECHABLES. MICROGOTERO. EQUIPO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74364C0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EQP</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62106C75"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146</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2B1DA756"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146</w:t>
            </w:r>
          </w:p>
        </w:tc>
      </w:tr>
      <w:tr w:rsidR="003447DF" w:rsidRPr="003447DF" w14:paraId="68DACB6F" w14:textId="77777777" w:rsidTr="003447DF">
        <w:trPr>
          <w:trHeight w:val="34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AA67ADA"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060 550 0909 11 01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7FC3ABA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JERINGAS. DE VIDRIO CON BULBO DE HULE REUTILIZABLES. CAPACIDAD: 60 ML.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109CF0D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6FCF8952"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62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07D3F140"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62</w:t>
            </w:r>
          </w:p>
        </w:tc>
      </w:tr>
      <w:tr w:rsidR="003447DF" w:rsidRPr="003447DF" w14:paraId="2AD02015" w14:textId="77777777" w:rsidTr="003447DF">
        <w:trPr>
          <w:trHeight w:val="5629"/>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BB6174"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lastRenderedPageBreak/>
              <w:t>060 604 0558 01 01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2B9669D9"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ESTIMULADOR TRICAMERAL PARA RESINCRONIZACION BIVENTRICULAR. DISPOSITIVO  ELECTRONICO IMPLANTABLE PARA PROPORCIONAR TERAPIA ELECTRICA DE RESINCRONIZACION  VENTRICULAR EN PACIENTES CON INSUFICIENCIA CARDIACA. CONSTA DE LOS SIGUIENTES  ELEMENTOS: GENERADOR DE MICROPULSOS ELECTRICOS ALIMENTADO POR BATERIA; CON  CONTROL PROGRAMABLE DE: VOLTAJE, ANCHO DE PULSO, CONFIGURACION DE ESTIMULACION  VENTRICULAR, RETARDO, MODOS DE ESTIMULACION, SALIDA, SENSIBILIDAD, POLARIDAD, Y  PERIODOS REFRACTARIO/CEGAMIENTO; HERRAMIENTA DINAMOMETRICA, SENSOR DE  FRECUENCIA CARDIACA; TRES TERMINALES INDEPENDIENTES CON CABLES AISLADOS  IMPLANTABLES POR VIA INTRAVENOSA PARA CONECTARSE EN: ATRIO DERECHO, VENTRICULO  DERECHO Y VENTRICULO IZQUIERDO. DISPOSITIVO PROGRAMABLE CON PROPIEDADES DE  MARCAPASO Y ESTIMULADOR BIVENTRICULAR. LAS ESPECIFICACIONES DE CADA UNO DE LOS  ELEMENTOS SENALADOS SERAN SELECCIONADOS POR LAS UNIDADES DE ACUERDO A SUS  NECESIDADES. REFACCIONES: LAS UNIDADES MEDICAS LAS SELECCIONARAN DE ACUERDO A  SUS NECESIDADES, ASEGURANDO SU COMPATIBILIDAD CON LA MARCA Y MODELO DEL EQUIPO.  ACCESORIOS OPCIONALES: LAS UNIDADES MEDICAS SELECCIONARAN DE ACUERDO A SUS  NECESIDADES, ASEGURANDO SU COMPATIBILIDAD CON LA MARCA Y MODELO DEL EQUIPO</w:t>
            </w:r>
            <w:proofErr w:type="gramStart"/>
            <w:r w:rsidRPr="003447DF">
              <w:rPr>
                <w:rFonts w:ascii="Montserrat" w:eastAsia="Times New Roman" w:hAnsi="Montserrat" w:cs="Calibri"/>
                <w:color w:val="000000"/>
                <w:sz w:val="12"/>
                <w:szCs w:val="12"/>
                <w:lang w:val="es-MX" w:eastAsia="es-MX"/>
              </w:rPr>
              <w:t>:  DESFIBRILADOR</w:t>
            </w:r>
            <w:proofErr w:type="gramEnd"/>
            <w:r w:rsidRPr="003447DF">
              <w:rPr>
                <w:rFonts w:ascii="Montserrat" w:eastAsia="Times New Roman" w:hAnsi="Montserrat" w:cs="Calibri"/>
                <w:color w:val="000000"/>
                <w:sz w:val="12"/>
                <w:szCs w:val="12"/>
                <w:lang w:val="es-MX" w:eastAsia="es-MX"/>
              </w:rPr>
              <w:t xml:space="preserve"> INTEGRADO; PROGRAMADOR CON SOFTWARE COMPATIBLE; SISTEMA PARA  COLOCACION DE ELECTRODOS; CABLES DE ESTIMULACION. CONSUMIBLES: LAS UNIDADES  MEDICAS LAS SELECCIONARAN DE ACUERDO A SUS NECESIDADES, ASEGURANDO SU  COMPATIBILIDAD CON LA MARCA Y MODELO DEL EQUIPO. INSTALACION. NO  REQUIERE.OPERACION. POR PERSONAL ESPECIALIZADO Y DE ACUERDO AL MANUAL DE  OPERACION.MANTENIMIENTO: NO REQUIERE.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46760F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EQP</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4D004B0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1F4B678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w:t>
            </w:r>
          </w:p>
        </w:tc>
      </w:tr>
      <w:tr w:rsidR="003447DF" w:rsidRPr="003447DF" w14:paraId="4241C354"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D6B7E47"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060 607 0068 10 01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6FD8298E"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ACCESORIOS PARA MARCAPASOS. ELECTRODO PARA MARCAPASO DEFINITIVO BIPOLAR ENDOCARDICO DE 3.2 MM DE DIAMETRO.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52BF1C87"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08B64F46"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40</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550BD6F1"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40</w:t>
            </w:r>
          </w:p>
        </w:tc>
      </w:tr>
      <w:tr w:rsidR="003447DF" w:rsidRPr="003447DF" w14:paraId="64F2EBF1"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FEF36F1"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060 621 0482 11 01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71BBC0D"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MASCARILLAS. DESECHABLE PARA ADMINISTRACION DE OXIGENO CON TUBO DE CONEXION DE 180 CM Y ADAPTADOR.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0E0A2C5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3753FBD8"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284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2BF1591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284</w:t>
            </w:r>
          </w:p>
        </w:tc>
      </w:tr>
      <w:tr w:rsidR="003447DF" w:rsidRPr="003447DF" w14:paraId="0C7CB080" w14:textId="77777777" w:rsidTr="003447DF">
        <w:trPr>
          <w:trHeight w:val="67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5265AD"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060 626 0032 04 01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3213719E"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MEDIAS ANTIEMBOLICAS. MEDIAS ANTIEMBOLICAS ELASTICAS DE COMPRESION MEDIANA Y/O COMPRESION GRADUADA, PARA MIEMBROS INFERIORES, HASTA EL MUSLO. TALLAS: MEDIANA CORTA. ENVASE CON UN PAR.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2EFA9716"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PAR</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5E82F4EB"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60FAB19D"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12</w:t>
            </w:r>
          </w:p>
        </w:tc>
      </w:tr>
      <w:tr w:rsidR="003447DF" w:rsidRPr="003447DF" w14:paraId="5A7C4886" w14:textId="77777777" w:rsidTr="003447DF">
        <w:trPr>
          <w:trHeight w:val="67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68BD78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060 626 0057 04 01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5DD7EBEC"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MEDIAS ANTIEMBOLICAS. MEDIAS ANTIEMBOLICAS ELASTICAS DE COMPRESION MEDIANA Y/O COMPRESION GRADUADA, PARA MIEMBROS INFERIORES, HASTA EL MUSLO. TALLAS: GRANDE CORTA. ENVASE CON UN PAR.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3F829813"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PAR</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1010D47E"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11</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70B4931A"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11</w:t>
            </w:r>
          </w:p>
        </w:tc>
      </w:tr>
      <w:tr w:rsidR="003447DF" w:rsidRPr="003447DF" w14:paraId="2FA47C1C" w14:textId="77777777" w:rsidTr="003447DF">
        <w:trPr>
          <w:trHeight w:val="345"/>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CF73516"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060 747 2404 10 01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62BC8939"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PROTESIS. PARA CONDUCTO BILIAR. TIPO COTTON HUIBREGTSE. LONGITUD. 12 CM CALIBRE.10 FR.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75E92FD6"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0DDD26A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54</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782146C2"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54</w:t>
            </w:r>
          </w:p>
        </w:tc>
      </w:tr>
      <w:tr w:rsidR="003447DF" w:rsidRPr="003447DF" w14:paraId="3AB1B5A1"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3A0CEC"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060 859 0519 11 01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520E8FE7"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TAPONES. TAPONES LUER LOCK PARA CATETER DE HICKMAN PARA HEPARINIZACION. ESTERIL Y DESECHABLE. PIEZA.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13B3666A"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646CADA6"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11046</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384E9B89"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11046</w:t>
            </w:r>
          </w:p>
        </w:tc>
      </w:tr>
      <w:tr w:rsidR="003447DF" w:rsidRPr="003447DF" w14:paraId="0E2651D5" w14:textId="77777777" w:rsidTr="003447DF">
        <w:trPr>
          <w:trHeight w:val="510"/>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E91B9AE"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060 869 0152 12 01</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478D1A08" w14:textId="77777777" w:rsidR="003447DF" w:rsidRPr="003447DF" w:rsidRDefault="003447DF" w:rsidP="003447DF">
            <w:pPr>
              <w:jc w:val="center"/>
              <w:rPr>
                <w:rFonts w:ascii="Montserrat" w:eastAsia="Times New Roman" w:hAnsi="Montserrat" w:cs="Calibri"/>
                <w:color w:val="000000"/>
                <w:sz w:val="12"/>
                <w:szCs w:val="12"/>
                <w:lang w:val="es-MX" w:eastAsia="es-MX"/>
              </w:rPr>
            </w:pPr>
            <w:r w:rsidRPr="003447DF">
              <w:rPr>
                <w:rFonts w:ascii="Montserrat" w:eastAsia="Times New Roman" w:hAnsi="Montserrat" w:cs="Calibri"/>
                <w:color w:val="000000"/>
                <w:sz w:val="12"/>
                <w:szCs w:val="12"/>
                <w:lang w:val="es-MX" w:eastAsia="es-MX"/>
              </w:rPr>
              <w:t xml:space="preserve">TELAS ADHESIVAS. DE ACETATO CON ADHESIVO EN UNA DE SUS CARAS. LONGITUD: 10 M. ANCHO: 2.50 CM. PRESENTACION: 12 PIEZAS. </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0B2C8C3C"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470C9FC8"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61</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4A5A8828"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61</w:t>
            </w:r>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95241" w14:textId="77777777" w:rsidR="00F065A5" w:rsidRDefault="00F065A5" w:rsidP="00984A99">
      <w:r>
        <w:separator/>
      </w:r>
    </w:p>
  </w:endnote>
  <w:endnote w:type="continuationSeparator" w:id="0">
    <w:p w14:paraId="36C01BEB" w14:textId="77777777" w:rsidR="00F065A5" w:rsidRDefault="00F065A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813135" w:rsidRDefault="00813135"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13135" w:rsidRPr="001B45F5" w:rsidRDefault="00813135"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C7560" w14:textId="77777777" w:rsidR="00F065A5" w:rsidRDefault="00F065A5" w:rsidP="00984A99">
      <w:r>
        <w:separator/>
      </w:r>
    </w:p>
  </w:footnote>
  <w:footnote w:type="continuationSeparator" w:id="0">
    <w:p w14:paraId="60A45F56" w14:textId="77777777" w:rsidR="00F065A5" w:rsidRDefault="00F065A5"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813135" w:rsidRDefault="00813135"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813135" w:rsidRDefault="00813135" w:rsidP="00291B67">
                          <w:pPr>
                            <w:jc w:val="right"/>
                            <w:rPr>
                              <w:rFonts w:ascii="Montserrat" w:hAnsi="Montserrat"/>
                              <w:b/>
                              <w:sz w:val="16"/>
                              <w:szCs w:val="16"/>
                            </w:rPr>
                          </w:pPr>
                        </w:p>
                        <w:p w14:paraId="0266E672" w14:textId="77777777" w:rsidR="00813135" w:rsidRPr="00291B67" w:rsidRDefault="00813135"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813135" w:rsidRPr="00291B67" w:rsidRDefault="00813135"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813135" w:rsidRPr="00291B67" w:rsidRDefault="00813135"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813135" w:rsidRPr="00291B67" w:rsidRDefault="00813135"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813135" w:rsidRPr="00291B67" w:rsidRDefault="00813135"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813135" w:rsidRPr="00291B67" w:rsidRDefault="00813135"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813135" w:rsidRDefault="00813135"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813135" w:rsidRDefault="00813135"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813135" w:rsidRPr="00291B67" w:rsidRDefault="00813135" w:rsidP="00291B67">
                          <w:pPr>
                            <w:pStyle w:val="Encabezado"/>
                            <w:jc w:val="right"/>
                            <w:rPr>
                              <w:rFonts w:ascii="Montserrat" w:hAnsi="Montserrat"/>
                              <w:sz w:val="16"/>
                              <w:szCs w:val="16"/>
                            </w:rPr>
                          </w:pPr>
                        </w:p>
                        <w:p w14:paraId="1976CC29" w14:textId="38F87DDB" w:rsidR="00813135" w:rsidRPr="00291B67" w:rsidRDefault="00813135" w:rsidP="000F3088">
                          <w:pPr>
                            <w:jc w:val="right"/>
                            <w:rPr>
                              <w:rFonts w:ascii="Montserrat Medium" w:hAnsi="Montserrat Medium"/>
                              <w:b/>
                              <w:sz w:val="16"/>
                              <w:szCs w:val="16"/>
                            </w:rPr>
                          </w:pPr>
                        </w:p>
                        <w:p w14:paraId="505A3674" w14:textId="56BF1623" w:rsidR="00813135" w:rsidRPr="00135FF3" w:rsidRDefault="00813135" w:rsidP="00AF3D90">
                          <w:pPr>
                            <w:jc w:val="right"/>
                            <w:rPr>
                              <w:rFonts w:ascii="Montserrat Medium" w:hAnsi="Montserrat Medium"/>
                              <w:b/>
                              <w:sz w:val="18"/>
                              <w:szCs w:val="18"/>
                            </w:rPr>
                          </w:pPr>
                        </w:p>
                        <w:p w14:paraId="6B2F7489" w14:textId="77777777" w:rsidR="00813135" w:rsidRPr="00C0299D" w:rsidRDefault="00813135" w:rsidP="00AF3D90">
                          <w:pPr>
                            <w:jc w:val="right"/>
                            <w:rPr>
                              <w:rFonts w:ascii="Montserrat Medium" w:hAnsi="Montserrat Medium"/>
                              <w:b/>
                              <w:sz w:val="14"/>
                              <w:szCs w:val="14"/>
                            </w:rPr>
                          </w:pPr>
                        </w:p>
                        <w:p w14:paraId="6F5088BC" w14:textId="77777777" w:rsidR="00813135" w:rsidRPr="00C0299D" w:rsidRDefault="00813135"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813135" w:rsidRDefault="00813135"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543B9"/>
    <w:rsid w:val="00161B35"/>
    <w:rsid w:val="0017017B"/>
    <w:rsid w:val="00170F07"/>
    <w:rsid w:val="00173F73"/>
    <w:rsid w:val="0017773D"/>
    <w:rsid w:val="001B2E1C"/>
    <w:rsid w:val="001B7EF6"/>
    <w:rsid w:val="001C4BDA"/>
    <w:rsid w:val="001D45E6"/>
    <w:rsid w:val="00201CC3"/>
    <w:rsid w:val="0020709D"/>
    <w:rsid w:val="00212B06"/>
    <w:rsid w:val="00213C3B"/>
    <w:rsid w:val="00253115"/>
    <w:rsid w:val="00263B14"/>
    <w:rsid w:val="00266435"/>
    <w:rsid w:val="00286159"/>
    <w:rsid w:val="00291B67"/>
    <w:rsid w:val="002D2C86"/>
    <w:rsid w:val="00313CCC"/>
    <w:rsid w:val="00315AAC"/>
    <w:rsid w:val="003447DF"/>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10B10"/>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13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0235"/>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8790B"/>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065A5"/>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6982344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29533562">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15A538-3D9B-4951-9FEB-CB362C50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11481</Words>
  <Characters>63148</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6</cp:revision>
  <cp:lastPrinted>2022-12-30T18:23:00Z</cp:lastPrinted>
  <dcterms:created xsi:type="dcterms:W3CDTF">2024-05-30T22:50:00Z</dcterms:created>
  <dcterms:modified xsi:type="dcterms:W3CDTF">2024-07-09T19:17:00Z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