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126D7" w14:textId="77777777" w:rsidR="0087483A" w:rsidRPr="0087483A" w:rsidRDefault="0087483A" w:rsidP="0087483A">
      <w:pPr>
        <w:suppressAutoHyphens/>
        <w:jc w:val="center"/>
        <w:rPr>
          <w:rFonts w:ascii="Geomanist" w:eastAsia="Times New Roman" w:hAnsi="Geomanist" w:cs="Arial"/>
          <w:b/>
          <w:sz w:val="16"/>
          <w:szCs w:val="16"/>
          <w:lang w:eastAsia="ar-SA"/>
        </w:rPr>
      </w:pPr>
      <w:bookmarkStart w:id="0" w:name="_Toc56153358"/>
      <w:bookmarkStart w:id="1" w:name="_GoBack"/>
      <w:bookmarkEnd w:id="1"/>
    </w:p>
    <w:p w14:paraId="047BEBCA" w14:textId="77777777" w:rsidR="0087483A" w:rsidRPr="0087483A" w:rsidRDefault="0087483A" w:rsidP="0087483A">
      <w:pPr>
        <w:ind w:left="360"/>
        <w:jc w:val="center"/>
        <w:rPr>
          <w:rFonts w:ascii="Geomanist" w:hAnsi="Geomanist" w:cs="Arial"/>
          <w:b/>
          <w:bCs/>
          <w:caps/>
          <w:sz w:val="16"/>
          <w:szCs w:val="16"/>
        </w:rPr>
      </w:pPr>
      <w:r w:rsidRPr="0087483A">
        <w:rPr>
          <w:rFonts w:ascii="Geomanist" w:hAnsi="Geomanist" w:cs="Arial"/>
          <w:b/>
          <w:bCs/>
          <w:caps/>
          <w:sz w:val="16"/>
          <w:szCs w:val="16"/>
        </w:rPr>
        <w:t>ANEXO TÉCNICO</w:t>
      </w:r>
    </w:p>
    <w:p w14:paraId="21114428" w14:textId="77777777" w:rsidR="0087483A" w:rsidRPr="0087483A" w:rsidRDefault="0087483A" w:rsidP="0087483A">
      <w:pPr>
        <w:ind w:left="360"/>
        <w:jc w:val="center"/>
        <w:rPr>
          <w:rFonts w:ascii="Geomanist" w:hAnsi="Geomanist" w:cs="Arial"/>
          <w:b/>
          <w:bCs/>
          <w:caps/>
          <w:sz w:val="16"/>
          <w:szCs w:val="16"/>
        </w:rPr>
      </w:pPr>
      <w:r w:rsidRPr="0087483A">
        <w:rPr>
          <w:rFonts w:ascii="Geomanist" w:hAnsi="Geomanist" w:cs="Arial"/>
          <w:b/>
          <w:bCs/>
          <w:caps/>
          <w:sz w:val="16"/>
          <w:szCs w:val="16"/>
        </w:rPr>
        <w:t>SERVICIO MÉDICO INTEGRAL DE HEMIDÍALISIS INTRAMUROS</w:t>
      </w:r>
    </w:p>
    <w:p w14:paraId="2E70669C" w14:textId="77777777" w:rsidR="0087483A" w:rsidRPr="0087483A" w:rsidRDefault="0087483A" w:rsidP="0087483A">
      <w:pPr>
        <w:ind w:left="360"/>
        <w:jc w:val="center"/>
        <w:rPr>
          <w:rFonts w:ascii="Geomanist" w:hAnsi="Geomanist" w:cs="Arial"/>
          <w:b/>
          <w:bCs/>
          <w:caps/>
          <w:sz w:val="16"/>
          <w:szCs w:val="16"/>
        </w:rPr>
      </w:pPr>
      <w:r w:rsidRPr="0087483A">
        <w:rPr>
          <w:rFonts w:ascii="Geomanist" w:hAnsi="Geomanist" w:cs="Arial"/>
          <w:b/>
          <w:bCs/>
          <w:caps/>
          <w:sz w:val="16"/>
          <w:szCs w:val="16"/>
        </w:rPr>
        <w:t>UNIDAD MÉDICA DE ALTA ESPCIALIDAD</w:t>
      </w:r>
    </w:p>
    <w:p w14:paraId="291D2B5E" w14:textId="77777777" w:rsidR="0087483A" w:rsidRPr="0087483A" w:rsidRDefault="0087483A" w:rsidP="0087483A">
      <w:pPr>
        <w:ind w:left="360"/>
        <w:jc w:val="center"/>
        <w:rPr>
          <w:rFonts w:ascii="Geomanist" w:hAnsi="Geomanist" w:cs="Arial"/>
          <w:b/>
          <w:bCs/>
          <w:caps/>
          <w:sz w:val="16"/>
          <w:szCs w:val="16"/>
        </w:rPr>
      </w:pPr>
      <w:r w:rsidRPr="0087483A">
        <w:rPr>
          <w:rFonts w:ascii="Geomanist" w:hAnsi="Geomanist" w:cs="Arial"/>
          <w:b/>
          <w:bCs/>
          <w:caps/>
          <w:sz w:val="16"/>
          <w:szCs w:val="16"/>
        </w:rPr>
        <w:t>“DR. VICTORIO DE LA FUENTE NARVÁEZ” CIUDAD DE MÉXICO</w:t>
      </w:r>
    </w:p>
    <w:p w14:paraId="5F156D91" w14:textId="77777777" w:rsidR="0087483A" w:rsidRPr="0087483A" w:rsidRDefault="0087483A" w:rsidP="0087483A">
      <w:pPr>
        <w:ind w:left="360"/>
        <w:jc w:val="center"/>
        <w:rPr>
          <w:rFonts w:ascii="Geomanist" w:hAnsi="Geomanist" w:cs="Arial"/>
          <w:b/>
          <w:bCs/>
          <w:caps/>
          <w:sz w:val="16"/>
          <w:szCs w:val="16"/>
        </w:rPr>
      </w:pPr>
    </w:p>
    <w:p w14:paraId="54194B43" w14:textId="77777777" w:rsidR="0087483A" w:rsidRPr="0087483A" w:rsidRDefault="0087483A" w:rsidP="0087483A">
      <w:pPr>
        <w:rPr>
          <w:rFonts w:ascii="Geomanist" w:hAnsi="Geomanist" w:cs="Arial"/>
          <w:sz w:val="16"/>
          <w:szCs w:val="16"/>
        </w:rPr>
      </w:pPr>
      <w:r w:rsidRPr="0087483A">
        <w:rPr>
          <w:rFonts w:ascii="Geomanist" w:hAnsi="Geomanist" w:cs="Arial"/>
          <w:b/>
          <w:sz w:val="16"/>
          <w:szCs w:val="16"/>
        </w:rPr>
        <w:t>GLOSARIO DE TÉRMINOS.</w:t>
      </w:r>
    </w:p>
    <w:p w14:paraId="69691F48" w14:textId="77777777" w:rsidR="0087483A" w:rsidRPr="0087483A" w:rsidRDefault="0087483A" w:rsidP="0087483A">
      <w:pPr>
        <w:pStyle w:val="texto"/>
        <w:spacing w:after="0" w:line="240" w:lineRule="auto"/>
        <w:ind w:firstLine="0"/>
        <w:rPr>
          <w:rFonts w:ascii="Geomanist" w:hAnsi="Geomanist" w:cs="Arial"/>
          <w:b/>
          <w:sz w:val="16"/>
          <w:szCs w:val="16"/>
        </w:rPr>
      </w:pPr>
    </w:p>
    <w:p w14:paraId="00E1F41D" w14:textId="57B30E96" w:rsidR="0087483A" w:rsidRPr="00ED5355" w:rsidRDefault="0087483A" w:rsidP="00ED5355">
      <w:pPr>
        <w:tabs>
          <w:tab w:val="num" w:pos="900"/>
          <w:tab w:val="left"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b/>
          <w:sz w:val="16"/>
          <w:szCs w:val="16"/>
        </w:rPr>
      </w:pPr>
      <w:r w:rsidRPr="00ED5355">
        <w:rPr>
          <w:rFonts w:ascii="Geomanist" w:hAnsi="Geomanist" w:cs="Arial"/>
          <w:b/>
          <w:sz w:val="16"/>
          <w:szCs w:val="16"/>
        </w:rPr>
        <w:t>ADMINISTRADOR DEL CONTRATO:</w:t>
      </w:r>
      <w:r w:rsidRPr="00ED5355">
        <w:rPr>
          <w:rFonts w:ascii="Geomanist" w:hAnsi="Geomanist" w:cs="Arial"/>
          <w:sz w:val="16"/>
          <w:szCs w:val="16"/>
        </w:rPr>
        <w:t xml:space="preserve"> </w:t>
      </w:r>
      <w:r w:rsidRPr="00ED5355">
        <w:rPr>
          <w:rFonts w:ascii="Geomanist" w:hAnsi="Geomanist" w:cs="Arial"/>
          <w:iCs/>
          <w:sz w:val="16"/>
          <w:szCs w:val="16"/>
        </w:rPr>
        <w:t>SERVIDOR PÚBLICO DEL ÁREA ADMINISTRADORA DEL CONTRATO EN EL IMSS, CONFORME AL NUMERAL 5.3.15 INCISO B) Y C) RESPECTO A CADA OOAD Y UMAE CONSOLIDADO DE ACUERDO A LAS PARTIDAS; SIENDO EN LOS OOAD´S LOS JEFES DE SERVICIOS ADMINISTRATIVOS Y SU EQUIVALENTE EN LAS UMAE´S SIENDO AUXILIADOS EN TODO LO MÉDICO Y TÉCNICO PARA VERIFICAR Y DAR SEGUIMIENTO AL DEBIDO CUMPLIMIENTO DE LOS CONTRATOS CON FORME A LOS TÉRMINOS Y CONDICIONES DE LOS JEFES DE SERVICIOS DE PRESTACIONES MÉDICAS DE CADA OOAD Y SU EQUIVALENTE EN LAS UMAE´S DE LAS POBALINES, QUIEN FUNGIRÁ COMO LO ESTABLECE EL NUMERAL 1 DEL MAAGAASSP; “AQUÉLLA EN LA QUE RECAE LA RESPONSABILIDAD DE DAR SEGUIMIENTO Y VERIFICAR EL CUMPLIMIENTO DE LOS DERECHOS Y OBLIGACIONES ESTABLECIDAS EN EL CONTRATO, PUEDE SER EL ÁREA CONTRATANTE O EL ÁREA REQUIRENTE, INCLUSO EL ÁREA TÉCNICA, CUANDO ACTÚE CON EL CARÁCTER DE ÁREA REQUIRENTE, DE CONFORMIDAD CON LO DISPUESTO EN LAS POLÍTICAS, BASES Y LINEAMIENTOS EN MATERIA DE ADQUISICIONES, ARRENDAMIENTOS Y SERVICIOS DE LA DEPENDENCIA O ENTIDAD.”</w:t>
      </w:r>
      <w:r w:rsidRPr="00ED5355">
        <w:rPr>
          <w:rFonts w:ascii="Geomanist" w:hAnsi="Geomanist" w:cs="Arial"/>
          <w:sz w:val="16"/>
          <w:szCs w:val="16"/>
        </w:rPr>
        <w:t>.</w:t>
      </w:r>
    </w:p>
    <w:p w14:paraId="775E9FAC" w14:textId="7C166895" w:rsidR="0087483A" w:rsidRPr="0087483A" w:rsidRDefault="0087483A" w:rsidP="00ED5355">
      <w:pPr>
        <w:tabs>
          <w:tab w:val="left" w:pos="-284"/>
          <w:tab w:val="left" w:pos="3060"/>
        </w:tabs>
        <w:overflowPunct w:val="0"/>
        <w:autoSpaceDE w:val="0"/>
        <w:autoSpaceDN w:val="0"/>
        <w:adjustRightInd w:val="0"/>
        <w:ind w:right="51"/>
        <w:jc w:val="both"/>
        <w:textAlignment w:val="baseline"/>
        <w:rPr>
          <w:rFonts w:ascii="Geomanist" w:hAnsi="Geomanist" w:cs="Arial"/>
          <w:b/>
          <w:sz w:val="16"/>
          <w:szCs w:val="16"/>
        </w:rPr>
      </w:pPr>
    </w:p>
    <w:p w14:paraId="042090F6"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iCs/>
          <w:sz w:val="16"/>
          <w:szCs w:val="16"/>
        </w:rPr>
      </w:pPr>
      <w:r w:rsidRPr="0087483A">
        <w:rPr>
          <w:rFonts w:ascii="Geomanist" w:hAnsi="Geomanist" w:cs="Arial"/>
          <w:b/>
          <w:iCs/>
          <w:sz w:val="16"/>
          <w:szCs w:val="16"/>
        </w:rPr>
        <w:t>ALSC:</w:t>
      </w:r>
      <w:r w:rsidRPr="0087483A">
        <w:rPr>
          <w:rFonts w:ascii="Geomanist" w:hAnsi="Geomanist" w:cs="Arial"/>
          <w:iCs/>
          <w:sz w:val="16"/>
          <w:szCs w:val="16"/>
        </w:rPr>
        <w:t xml:space="preserve"> ADMINISTRACIÓN LOCAL DE SERVICIOS AL CONTRIBUYENTE.</w:t>
      </w:r>
    </w:p>
    <w:p w14:paraId="7065D59A"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iCs/>
          <w:sz w:val="16"/>
          <w:szCs w:val="16"/>
        </w:rPr>
      </w:pPr>
    </w:p>
    <w:p w14:paraId="0DC0638B"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ÁREA CONTRATANTE:</w:t>
      </w:r>
      <w:r w:rsidRPr="0087483A">
        <w:rPr>
          <w:rFonts w:ascii="Geomanist" w:hAnsi="Geomanist" w:cs="Arial"/>
          <w:sz w:val="16"/>
          <w:szCs w:val="16"/>
        </w:rPr>
        <w:t xml:space="preserve"> LA FACULTADA EN LA DEPENDENCIA O ENTIDAD PARA REALIZAR PROCEDIMIENTOS DE CONTRATACIÓN A EFECTO DE ADQUIRIR O ARRENDAR BIENES O CONTRATAR LA PRESTACIÓN DE SERVICIOS QUE REQUIERA LA DEPENDENCIA O ENTIDAD DE QUE SE TRATE;</w:t>
      </w:r>
    </w:p>
    <w:p w14:paraId="28B782DF"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iCs/>
          <w:sz w:val="16"/>
          <w:szCs w:val="16"/>
        </w:rPr>
      </w:pPr>
    </w:p>
    <w:p w14:paraId="23246168"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ÁREA REQUIRENTE</w:t>
      </w:r>
      <w:r w:rsidRPr="0087483A">
        <w:rPr>
          <w:rFonts w:ascii="Geomanist" w:hAnsi="Geomanist" w:cs="Arial"/>
          <w:sz w:val="16"/>
          <w:szCs w:val="16"/>
        </w:rPr>
        <w:t>: LA QUE EN LA DEPENDENCIA O ENTIDAD, SOLICITE O REQUIERA FORMALMENTE LA ADQUISICIÓN O ARRENDAMIENTO DE BIENES O LA PRESTACIÓN DE SERVICIOS, O BIEN AQUELLA QUE LOS UTILIZARÁ;</w:t>
      </w:r>
    </w:p>
    <w:p w14:paraId="45B995B1"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lang w:val="es-ES_tradnl"/>
        </w:rPr>
      </w:pPr>
    </w:p>
    <w:p w14:paraId="7BB08901"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ÁREA TÉCNICA</w:t>
      </w:r>
      <w:r w:rsidRPr="0087483A">
        <w:rPr>
          <w:rFonts w:ascii="Geomanist" w:hAnsi="Geomanist" w:cs="Arial"/>
          <w:sz w:val="16"/>
          <w:szCs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3E84E62C"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lang w:val="es-ES_tradnl"/>
        </w:rPr>
      </w:pPr>
    </w:p>
    <w:p w14:paraId="0B7EF4BD"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 xml:space="preserve">BIENES DE CONSUMO: </w:t>
      </w:r>
      <w:r w:rsidRPr="0087483A">
        <w:rPr>
          <w:rFonts w:ascii="Geomanist" w:hAnsi="Geomanist" w:cs="Arial"/>
          <w:sz w:val="16"/>
          <w:szCs w:val="16"/>
        </w:rPr>
        <w:t>LOS QUE SE DESGASTAN O EXTINGUEN EN SU USO PRIMARIO Y POR LO TANTO NO SON SUSCEPTIBLES DE SER UTILIZADOS NUEVAMENTE, LOS CUALES EN EL INSTITUTO SE CLASIFICAN COMO BIENES DE USO TERAPÉUTICO.</w:t>
      </w:r>
    </w:p>
    <w:p w14:paraId="207FA677"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5C21F8B9"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 xml:space="preserve">CANJE: </w:t>
      </w:r>
      <w:r w:rsidRPr="0087483A">
        <w:rPr>
          <w:rFonts w:ascii="Geomanist" w:hAnsi="Geomanist" w:cs="Arial"/>
          <w:sz w:val="16"/>
          <w:szCs w:val="16"/>
        </w:rPr>
        <w:t>ES LA OBLIGACIÓN QUE CONTRAEN LOS PROVEEDORES CON EL INSTITUTO, PARA CAMBIAR BIENES EN MAL ESTADO QUE NO PUEDEN SER UTILIZADOS, POR BIENES NUEVOS DEL MISMO TIPO.</w:t>
      </w:r>
    </w:p>
    <w:p w14:paraId="1E4FB4B7" w14:textId="77777777" w:rsidR="0087483A" w:rsidRPr="0087483A" w:rsidRDefault="0087483A" w:rsidP="00ED5355">
      <w:pPr>
        <w:tabs>
          <w:tab w:val="left" w:pos="-284"/>
          <w:tab w:val="left"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b/>
          <w:i/>
          <w:iCs/>
          <w:sz w:val="16"/>
          <w:szCs w:val="16"/>
        </w:rPr>
      </w:pPr>
    </w:p>
    <w:p w14:paraId="72D48C58"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CATÁLOGO DE INSUMOS:</w:t>
      </w:r>
      <w:r w:rsidRPr="0087483A">
        <w:rPr>
          <w:rFonts w:ascii="Geomanist" w:hAnsi="Geomanist" w:cs="Arial"/>
          <w:sz w:val="16"/>
          <w:szCs w:val="16"/>
        </w:rPr>
        <w:t xml:space="preserve"> EL EXPEDIDO POR EL CONSEJO DE SALUBRIDAD GENERAL.</w:t>
      </w:r>
    </w:p>
    <w:p w14:paraId="5F191131"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5FB55D24"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b/>
          <w:i/>
          <w:sz w:val="16"/>
          <w:szCs w:val="16"/>
        </w:rPr>
      </w:pPr>
      <w:r w:rsidRPr="0087483A">
        <w:rPr>
          <w:rFonts w:ascii="Geomanist" w:hAnsi="Geomanist" w:cs="Arial"/>
          <w:b/>
          <w:sz w:val="16"/>
          <w:szCs w:val="16"/>
        </w:rPr>
        <w:t>CECOBAN:</w:t>
      </w:r>
      <w:r w:rsidRPr="0087483A">
        <w:rPr>
          <w:rFonts w:ascii="Geomanist" w:hAnsi="Geomanist" w:cs="Arial"/>
          <w:sz w:val="16"/>
          <w:szCs w:val="16"/>
        </w:rPr>
        <w:t xml:space="preserve"> CENTRO DE COMPENSACIÓN BANCARIA.</w:t>
      </w:r>
    </w:p>
    <w:p w14:paraId="4BC30DD6"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b/>
          <w:i/>
          <w:sz w:val="16"/>
          <w:szCs w:val="16"/>
        </w:rPr>
      </w:pPr>
    </w:p>
    <w:p w14:paraId="14F6A9D4" w14:textId="77777777" w:rsid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COFEPRIS</w:t>
      </w:r>
      <w:r w:rsidRPr="0087483A">
        <w:rPr>
          <w:rFonts w:ascii="Geomanist" w:hAnsi="Geomanist" w:cs="Arial"/>
          <w:sz w:val="16"/>
          <w:szCs w:val="16"/>
        </w:rPr>
        <w:t>: COMISIÓN FEDERAL PARA LA PROTECCIÓN CONTRA RIESGOS SANITARIOS.</w:t>
      </w:r>
    </w:p>
    <w:p w14:paraId="1BB2C3AC" w14:textId="77777777" w:rsidR="00ED5355" w:rsidRDefault="00ED5355"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75DFEDE6" w14:textId="0C39AD1C" w:rsidR="0043366F" w:rsidRPr="00ED5355" w:rsidRDefault="00ED5355"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b/>
          <w:sz w:val="16"/>
          <w:szCs w:val="16"/>
        </w:rPr>
      </w:pPr>
      <w:r>
        <w:rPr>
          <w:rFonts w:ascii="Geomanist" w:hAnsi="Geomanist" w:cs="Arial"/>
          <w:b/>
          <w:sz w:val="16"/>
          <w:szCs w:val="16"/>
        </w:rPr>
        <w:t>P</w:t>
      </w:r>
      <w:r w:rsidR="0043366F" w:rsidRPr="00ED5355">
        <w:rPr>
          <w:rFonts w:ascii="Geomanist" w:hAnsi="Geomanist" w:cs="Arial"/>
          <w:b/>
          <w:sz w:val="16"/>
          <w:szCs w:val="16"/>
        </w:rPr>
        <w:t>LATAFORMA COMPRAS MX</w:t>
      </w:r>
      <w:r w:rsidR="0043366F" w:rsidRPr="00ED5355">
        <w:rPr>
          <w:rFonts w:ascii="Geomanist" w:hAnsi="Geomanist" w:cs="Arial"/>
          <w:sz w:val="16"/>
          <w:szCs w:val="16"/>
        </w:rPr>
        <w:t>: EL SISTEMA ELECTRÓNICO DE INFORMACIÓN PÚBLICA GUBERNAMENTAL SOBRE ADQUISICIONES, ARRENDAMIENTOS Y SERVICIOS. CON DIRECCIÓN ELECTRÓNICA EN INTERNET:</w:t>
      </w:r>
      <w:r w:rsidR="0043366F" w:rsidRPr="00ED5355">
        <w:rPr>
          <w:rFonts w:ascii="Geomanist" w:hAnsi="Geomanist" w:cs="Arial"/>
          <w:b/>
          <w:sz w:val="16"/>
          <w:szCs w:val="16"/>
        </w:rPr>
        <w:t xml:space="preserve"> </w:t>
      </w:r>
      <w:r w:rsidR="0043366F" w:rsidRPr="00ED5355">
        <w:rPr>
          <w:rFonts w:ascii="Geomanist" w:hAnsi="Geomanist"/>
          <w:sz w:val="16"/>
          <w:szCs w:val="16"/>
        </w:rPr>
        <w:t>https://upcp-compranet.buengobierno.gob.mx/</w:t>
      </w:r>
    </w:p>
    <w:p w14:paraId="7D3171BC" w14:textId="77777777" w:rsidR="0043366F" w:rsidRPr="0087483A" w:rsidRDefault="0043366F"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1F03832D"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 xml:space="preserve">CONTRATO: </w:t>
      </w:r>
      <w:r w:rsidRPr="0087483A">
        <w:rPr>
          <w:rFonts w:ascii="Geomanist" w:hAnsi="Geomanist" w:cs="Arial"/>
          <w:sz w:val="16"/>
          <w:szCs w:val="16"/>
        </w:rPr>
        <w:t>DOCUMENTO A TRAVÉS DEL CUAL SE FORMALIZAN LOS DERECHOS Y OBLIGACIONES DERIVADOS DEL FALLO DEL PROCEDIMIENTO DE CONTRATACIÓN DE LA ADQUISICIÓN O LA PRESTACIÓN DE LOS SERVICIOS.</w:t>
      </w:r>
    </w:p>
    <w:p w14:paraId="64CC0A78"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02BA957C"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CUADRO BÁSICO:</w:t>
      </w:r>
      <w:r w:rsidRPr="0087483A">
        <w:rPr>
          <w:rFonts w:ascii="Geomanist" w:hAnsi="Geomanist" w:cs="Arial"/>
          <w:sz w:val="16"/>
          <w:szCs w:val="16"/>
        </w:rPr>
        <w:t xml:space="preserve"> EL EXPEDIDO POR EL CONSEJO DE SALUBRIDAD GENERAL.</w:t>
      </w:r>
    </w:p>
    <w:p w14:paraId="4B055B23"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27862430"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INSTITUTO O IMSS:</w:t>
      </w:r>
      <w:r w:rsidRPr="0087483A">
        <w:rPr>
          <w:rFonts w:ascii="Geomanist" w:hAnsi="Geomanist" w:cs="Arial"/>
          <w:sz w:val="16"/>
          <w:szCs w:val="16"/>
        </w:rPr>
        <w:t xml:space="preserve"> INSTITUTO MEXICANO DEL SEGURO SOCIAL.</w:t>
      </w:r>
    </w:p>
    <w:p w14:paraId="60270114"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53614C95"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INVESTIGACIÓN DE MERCADO</w:t>
      </w:r>
      <w:r w:rsidRPr="0087483A">
        <w:rPr>
          <w:rFonts w:ascii="Geomanist" w:hAnsi="Geomanist" w:cs="Arial"/>
          <w:sz w:val="16"/>
          <w:szCs w:val="16"/>
        </w:rPr>
        <w:t xml:space="preserve">: LA VERIFICACIÓN DE LA EXISTENCIA DE BIENES, ARRENDAMIENTOS O SERVICIOS, DE PROVEEDORES A NIVEL NACIONAL O INTERNACIONAL Y DEL PRECIO ESTIMADO BASADO EN LA INFORMACIÓN </w:t>
      </w:r>
      <w:r w:rsidRPr="0087483A">
        <w:rPr>
          <w:rFonts w:ascii="Geomanist" w:hAnsi="Geomanist" w:cs="Arial"/>
          <w:sz w:val="16"/>
          <w:szCs w:val="16"/>
        </w:rPr>
        <w:lastRenderedPageBreak/>
        <w:t>QUE SE OBTENGA EN LA PROPIA DEPENDENCIA O ENTIDAD, DE ORGANISMOS PÚBLICOS O PRIVADOS, DE FABRICANTES DE BIENES O PRESTADORES DEL SERVICIO, O UNA COMBINACIÓN DE DICHAS FUENTES DE INFORMACIÓN;</w:t>
      </w:r>
    </w:p>
    <w:p w14:paraId="56C3D4AE"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31C30E46"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IVA:</w:t>
      </w:r>
      <w:r w:rsidRPr="0087483A">
        <w:rPr>
          <w:rFonts w:ascii="Geomanist" w:hAnsi="Geomanist" w:cs="Arial"/>
          <w:sz w:val="16"/>
          <w:szCs w:val="16"/>
        </w:rPr>
        <w:t xml:space="preserve"> IMPUESTO AL VALOR AGREGADO.</w:t>
      </w:r>
    </w:p>
    <w:p w14:paraId="23075EF6"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6CD2BA70"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LAASSP O LEY:</w:t>
      </w:r>
      <w:r w:rsidRPr="0087483A">
        <w:rPr>
          <w:rFonts w:ascii="Geomanist" w:hAnsi="Geomanist" w:cs="Arial"/>
          <w:sz w:val="16"/>
          <w:szCs w:val="16"/>
        </w:rPr>
        <w:t xml:space="preserve"> LEY DE ADQUISICIONES, ARRENDAMIENTOS Y SERVICIOS DEL SECTOR PÚBLICO.</w:t>
      </w:r>
    </w:p>
    <w:p w14:paraId="6B4747EE"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289F6F5F"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LICITANTE:</w:t>
      </w:r>
      <w:r w:rsidRPr="0087483A">
        <w:rPr>
          <w:rFonts w:ascii="Geomanist" w:hAnsi="Geomanist" w:cs="Arial"/>
          <w:sz w:val="16"/>
          <w:szCs w:val="16"/>
        </w:rPr>
        <w:t xml:space="preserve"> LA PERSONA QUE PARTICIPE EN CUALQUIER PROCEDIMIENTO DE LICITACIÓN PÚBLICA O DE INVITACIÓN A CUANDO MENOS TRES PERSONAS.</w:t>
      </w:r>
    </w:p>
    <w:p w14:paraId="0780575F"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61A49267"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MEDIOS REMOTOS DE COMUNICACIÓN ELECTRÓNICA:</w:t>
      </w:r>
      <w:r w:rsidRPr="0087483A">
        <w:rPr>
          <w:rFonts w:ascii="Geomanist" w:hAnsi="Geomanist" w:cs="Arial"/>
          <w:bCs/>
          <w:sz w:val="16"/>
          <w:szCs w:val="16"/>
        </w:rPr>
        <w:t xml:space="preserve"> LOS DISPOSITIVOS TECNOLÓGICOS PARA EFECTUAR TRANSMISIÓN DE DATOS E INFORMACIÓN A TRAVÉS DE COMPUTADORAS, LÍNEAS TELEFÓNICAS, ENLACES DEDICADOS, MICROONDAS Y SIMILARES.</w:t>
      </w:r>
    </w:p>
    <w:p w14:paraId="019170C8"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43A069B2"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MIPYMES</w:t>
      </w:r>
      <w:r w:rsidRPr="0087483A">
        <w:rPr>
          <w:rFonts w:ascii="Geomanist" w:hAnsi="Geomanist" w:cs="Arial"/>
          <w:sz w:val="16"/>
          <w:szCs w:val="16"/>
        </w:rPr>
        <w:t>: LAS MICRO, PEQUEÑAS Y MEDIANAS EMPRESAS DE NACIONALIDAD MEXICANA A QUE HACE REFERENCIA LA LEY PARA EL DESARROLLO DE LA COMPETITIVIDAD DE LA MICRO, PEQUEÑA Y MEDIANA EMPRESA;</w:t>
      </w:r>
    </w:p>
    <w:p w14:paraId="7C039E9D" w14:textId="77777777" w:rsidR="0087483A" w:rsidRPr="0087483A" w:rsidRDefault="0087483A" w:rsidP="00ED5355">
      <w:pPr>
        <w:pStyle w:val="ROMANOS"/>
        <w:spacing w:after="0" w:line="240" w:lineRule="auto"/>
        <w:ind w:left="0" w:firstLine="0"/>
        <w:rPr>
          <w:rFonts w:ascii="Geomanist" w:hAnsi="Geomanist" w:cs="Arial"/>
          <w:sz w:val="16"/>
          <w:szCs w:val="16"/>
        </w:rPr>
      </w:pPr>
    </w:p>
    <w:p w14:paraId="31E8E73F"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PARTIDA O CONCEPTO</w:t>
      </w:r>
      <w:r w:rsidRPr="0087483A">
        <w:rPr>
          <w:rFonts w:ascii="Geomanist" w:hAnsi="Geomanist" w:cs="Arial"/>
          <w:sz w:val="16"/>
          <w:szCs w:val="16"/>
        </w:rPr>
        <w:t>: LA DIVISIÓN O DESGLOSE DE LOS BIENES A ADQUIRIR O ARRENDAR O DE LOS SERVICIOS A CONTRATAR, CONTENIDOS EN UN PROCEDIMIENTO DE CONTRATACIÓN O EN UN CONTRATO, PARA DIFERENCIARLOS UNOS DE OTROS, CLASIFICARLOS O AGRUPARLOS;</w:t>
      </w:r>
    </w:p>
    <w:p w14:paraId="4EFC1941" w14:textId="77777777" w:rsidR="0087483A" w:rsidRPr="0087483A" w:rsidRDefault="0087483A" w:rsidP="00ED5355">
      <w:pPr>
        <w:pStyle w:val="ROMANOS"/>
        <w:spacing w:after="0" w:line="240" w:lineRule="auto"/>
        <w:ind w:left="0" w:firstLine="0"/>
        <w:rPr>
          <w:rFonts w:ascii="Geomanist" w:hAnsi="Geomanist" w:cs="Arial"/>
          <w:sz w:val="16"/>
          <w:szCs w:val="16"/>
        </w:rPr>
      </w:pPr>
    </w:p>
    <w:p w14:paraId="3861A363"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PRECIO NO ACEPTABLE</w:t>
      </w:r>
      <w:r w:rsidRPr="0087483A">
        <w:rPr>
          <w:rFonts w:ascii="Geomanist" w:hAnsi="Geomanist" w:cs="Arial"/>
          <w:sz w:val="16"/>
          <w:szCs w:val="16"/>
        </w:rPr>
        <w:t>: ES AQUÉL QUE DERIVADO DE LA INVESTIGACIÓN DE MERCADO REALIZADA, RESULTE SUPERIOR EN UN DIEZ POR CIENTO AL OFERTADO RESPECTO DEL QUE SE OBSERVA COMO MEDIANA EN DICHA INVESTIGACIÓN O EN SU DEFECTO, EL PROMEDIO DE LAS OFERTAS PRESENTADAS EN LA MISMA INVITACIÓN A CUANDO MENOS TRES PERSONAS NACIONAL, Y</w:t>
      </w:r>
    </w:p>
    <w:p w14:paraId="14C5DF77" w14:textId="77777777" w:rsidR="0087483A" w:rsidRPr="0087483A" w:rsidRDefault="0087483A" w:rsidP="00ED5355">
      <w:pPr>
        <w:pStyle w:val="ROMANOS"/>
        <w:spacing w:after="0" w:line="240" w:lineRule="auto"/>
        <w:ind w:left="0" w:firstLine="0"/>
        <w:rPr>
          <w:rFonts w:ascii="Geomanist" w:hAnsi="Geomanist" w:cs="Arial"/>
          <w:b/>
          <w:sz w:val="16"/>
          <w:szCs w:val="16"/>
          <w:lang w:val="es-ES"/>
        </w:rPr>
      </w:pPr>
    </w:p>
    <w:p w14:paraId="061A8B30" w14:textId="77777777" w:rsidR="0087483A" w:rsidRPr="0087483A" w:rsidRDefault="0087483A" w:rsidP="00ED5355">
      <w:pPr>
        <w:pStyle w:val="ROMANOS"/>
        <w:tabs>
          <w:tab w:val="clear" w:pos="2160"/>
        </w:tabs>
        <w:suppressAutoHyphens w:val="0"/>
        <w:autoSpaceDE/>
        <w:spacing w:after="0" w:line="240" w:lineRule="auto"/>
        <w:ind w:left="0" w:firstLine="0"/>
        <w:rPr>
          <w:rFonts w:ascii="Geomanist" w:hAnsi="Geomanist" w:cs="Arial"/>
          <w:sz w:val="16"/>
          <w:szCs w:val="16"/>
        </w:rPr>
      </w:pPr>
      <w:r w:rsidRPr="0087483A">
        <w:rPr>
          <w:rFonts w:ascii="Geomanist" w:hAnsi="Geomanist" w:cs="Arial"/>
          <w:b/>
          <w:sz w:val="16"/>
          <w:szCs w:val="16"/>
        </w:rPr>
        <w:t>PRECIO CONVENIENTE</w:t>
      </w:r>
      <w:r w:rsidRPr="0087483A">
        <w:rPr>
          <w:rFonts w:ascii="Geomanist" w:hAnsi="Geomanist" w:cs="Arial"/>
          <w:sz w:val="16"/>
          <w:szCs w:val="16"/>
        </w:rPr>
        <w:t>: ES AQUEL QUE SE DETERMINA A PARTIR DE OBTENER EL PROMEDIO DE LOS PRECIOS PREPONDERANTES QUE RESULTEN DE LAS PROPOSICIONES ACEPTADAS TÉCNICAMENTE EN LA INVITACIÓN A CUANDO MENOS TRES PERSONAS NACIONAL, Y A ÉSTE SE LE RESTA EL PORCENTAJE QUE DETERMINE LA DEPENDENCIA O ENTIDAD EN SUS POLÍTICAS, BASES Y LINEAMIENTOS.</w:t>
      </w:r>
    </w:p>
    <w:p w14:paraId="435A5155"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7AEEF9C0"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PROVEEDOR:</w:t>
      </w:r>
      <w:r w:rsidRPr="0087483A">
        <w:rPr>
          <w:rFonts w:ascii="Geomanist" w:hAnsi="Geomanist" w:cs="Arial"/>
          <w:sz w:val="16"/>
          <w:szCs w:val="16"/>
        </w:rPr>
        <w:t xml:space="preserve"> LA PERSONA QUE CELEBRE CONTRATOS DE ADQUISICIONES, ARRENDAMIENTOS O SERVICIOS. </w:t>
      </w:r>
    </w:p>
    <w:p w14:paraId="3CF02CB7"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b/>
          <w:sz w:val="16"/>
          <w:szCs w:val="16"/>
        </w:rPr>
      </w:pPr>
    </w:p>
    <w:p w14:paraId="64F04CF5"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REGLAMENTO:</w:t>
      </w:r>
      <w:r w:rsidRPr="0087483A">
        <w:rPr>
          <w:rFonts w:ascii="Geomanist" w:hAnsi="Geomanist" w:cs="Arial"/>
          <w:sz w:val="16"/>
          <w:szCs w:val="16"/>
        </w:rPr>
        <w:t xml:space="preserve"> REGLAMENTO DE LA LEY DE ADQUISICIONES, ARRENDAMIENTOS Y SERVICIOS DEL SECTOR PÚBLICO.</w:t>
      </w:r>
    </w:p>
    <w:p w14:paraId="71C54318"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37ABE5BB"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SAI:</w:t>
      </w:r>
      <w:r w:rsidRPr="0087483A">
        <w:rPr>
          <w:rFonts w:ascii="Geomanist" w:hAnsi="Geomanist" w:cs="Arial"/>
          <w:sz w:val="16"/>
          <w:szCs w:val="16"/>
        </w:rPr>
        <w:t xml:space="preserve"> SISTEMA DE ABASTO INSTITUCIONAL. CONJUNTO DE ACCIONES PROGRAMADAS EN MEDIOS ELECTRÓNICOS QUE PERMITEN REALIZAR ACTIVIDADES COMPRENDIDAS EN EL PROCESO DE ABASTECIMIENTO Y SUMINISTRO, DE MANERA AUTOMATIZADA EN RED. </w:t>
      </w:r>
    </w:p>
    <w:p w14:paraId="58991411"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03A3C7EA"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SAT:</w:t>
      </w:r>
      <w:r w:rsidRPr="0087483A">
        <w:rPr>
          <w:rFonts w:ascii="Geomanist" w:hAnsi="Geomanist" w:cs="Arial"/>
          <w:sz w:val="16"/>
          <w:szCs w:val="16"/>
        </w:rPr>
        <w:t xml:space="preserve"> EL SERVICIO DE ADMINISTRACIÓN TRIBUTARIA.</w:t>
      </w:r>
    </w:p>
    <w:p w14:paraId="3D391986"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52950863" w14:textId="243895EE" w:rsidR="0087483A" w:rsidRPr="0087483A" w:rsidRDefault="00ED5355"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Pr>
          <w:rFonts w:ascii="Geomanist" w:hAnsi="Geomanist" w:cs="Arial"/>
          <w:b/>
          <w:sz w:val="16"/>
          <w:szCs w:val="16"/>
        </w:rPr>
        <w:t>SABG</w:t>
      </w:r>
      <w:r w:rsidR="0087483A" w:rsidRPr="0087483A">
        <w:rPr>
          <w:rFonts w:ascii="Geomanist" w:hAnsi="Geomanist" w:cs="Arial"/>
          <w:b/>
          <w:sz w:val="16"/>
          <w:szCs w:val="16"/>
        </w:rPr>
        <w:t>:</w:t>
      </w:r>
      <w:r w:rsidR="0087483A" w:rsidRPr="0087483A">
        <w:rPr>
          <w:rFonts w:ascii="Geomanist" w:hAnsi="Geomanist" w:cs="Arial"/>
          <w:sz w:val="16"/>
          <w:szCs w:val="16"/>
        </w:rPr>
        <w:t xml:space="preserve"> SECRETARÍA </w:t>
      </w:r>
      <w:r>
        <w:rPr>
          <w:rFonts w:ascii="Geomanist" w:hAnsi="Geomanist" w:cs="Arial"/>
          <w:sz w:val="16"/>
          <w:szCs w:val="16"/>
        </w:rPr>
        <w:t>ANTICORRUPCIÓN Y BUEN GOBIERNO</w:t>
      </w:r>
      <w:r w:rsidR="0087483A" w:rsidRPr="0087483A">
        <w:rPr>
          <w:rFonts w:ascii="Geomanist" w:hAnsi="Geomanist" w:cs="Arial"/>
          <w:sz w:val="16"/>
          <w:szCs w:val="16"/>
        </w:rPr>
        <w:t>.</w:t>
      </w:r>
    </w:p>
    <w:p w14:paraId="3A6FAE95"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69896431"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SSA:</w:t>
      </w:r>
      <w:r w:rsidRPr="0087483A">
        <w:rPr>
          <w:rFonts w:ascii="Geomanist" w:hAnsi="Geomanist" w:cs="Arial"/>
          <w:sz w:val="16"/>
          <w:szCs w:val="16"/>
        </w:rPr>
        <w:t xml:space="preserve"> SECRETARÍA DE SALUD.</w:t>
      </w:r>
    </w:p>
    <w:p w14:paraId="56D59260"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5A5D6043"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lang w:val="es-ES_tradnl"/>
        </w:rPr>
        <w:t xml:space="preserve">SOBRE CERRADO: </w:t>
      </w:r>
      <w:r w:rsidRPr="0087483A">
        <w:rPr>
          <w:rFonts w:ascii="Geomanist" w:hAnsi="Geomanist" w:cs="Arial"/>
          <w:sz w:val="16"/>
          <w:szCs w:val="16"/>
          <w:lang w:val="es-ES_tradnl"/>
        </w:rPr>
        <w:t>CUALQUIER MEDIO QUE CONTENGA LA PROPOSICIÓN DEL LICITANTE, CUYO CONTENIDO SOLO PUEDE SER CONOCIDO EN EL ACTO DE PRESENTACIÓN Y APERTURA DE PROPOSICIONES, EN TÉRMINOS DE LA LEY.</w:t>
      </w:r>
    </w:p>
    <w:p w14:paraId="4B42E00D" w14:textId="77777777" w:rsidR="0087483A" w:rsidRPr="0087483A" w:rsidRDefault="0087483A" w:rsidP="00ED5355">
      <w:pPr>
        <w:pStyle w:val="Prrafodelista"/>
        <w:spacing w:after="0" w:line="240" w:lineRule="auto"/>
        <w:ind w:left="0"/>
        <w:rPr>
          <w:rFonts w:ascii="Geomanist" w:hAnsi="Geomanist" w:cs="Arial"/>
          <w:b/>
          <w:sz w:val="16"/>
          <w:szCs w:val="16"/>
        </w:rPr>
      </w:pPr>
    </w:p>
    <w:p w14:paraId="5F9A3A46"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TECNOVIGILANCIA</w:t>
      </w:r>
      <w:r w:rsidRPr="0087483A">
        <w:rPr>
          <w:rFonts w:ascii="Geomanist" w:hAnsi="Geomanist" w:cs="Arial"/>
          <w:sz w:val="16"/>
          <w:szCs w:val="16"/>
        </w:rPr>
        <w:t xml:space="preserve"> (VIGILANCIA DE LA SEGURIDAD DE LOS DISPOSITIVOS MÉDICOS), AL CONJUNTO DE ACTIVIDADES QUE TIENEN POR OBJETO LA IDENTIFICACIÓN Y EVALUACIÓN DE INCIDENTES ADVERSOS PRODUCIDOS POR LOS DISPOSITIVOS MÉDICOS EN USO ASÍ COMO LA IDENTIFICACIÓN DE LOS FACTORES DE RIESGO ASOCIADOS A ÉSTOS, CON BASE EN LA NOTIFICACIÓN, REGISTRO Y EVALUACIÓN SISTEMÁTICA DE LAS NOTIFICACIONES DE INCIDENTES ADVERSOS, CON EL FIN DE DETERMINAR LA FRECUENCIA, GRAVEDAD E INCIDENCIA DE LOS MISMOS PARA PREVENIR SU APARICIÓN Y MINIMIZAR SUS RIESGOS. IDEALMENTE, LA INFORMACIÓN DEL SISTEMA DE TECNOVIGILANCIA SE COMPARTE ENTRE AUTORIDADES COMPETENTES Y FABRICANTES/DISTRIBUIDORES, A MODO DE FACILITAR LAS ACTIVIDADES EN MATERIA DE TECNOVIGILANCIA, ASÍ COMO LAS ACCIONES PREVENTIVAS Y CORRECTIVAS DE CADA CASO A NIVEL NACIONAL E INTERNACIONAL QUE IMPACTEN EN EL TERRITORIO NACIONAL. NOM-240-SSA1-2012, INSTALACIÓN Y OPERACIÓN DE LA TECNOVIGILANCIA, 4.1.25 TECNOVIGILANCIA.</w:t>
      </w:r>
    </w:p>
    <w:p w14:paraId="3ABA6A51"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1C8D8BEE" w14:textId="77777777" w:rsid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UNIDAD ALMACENARÍA O ALMACÉN:</w:t>
      </w:r>
      <w:r w:rsidRPr="0087483A">
        <w:rPr>
          <w:rFonts w:ascii="Geomanist" w:hAnsi="Geomanist" w:cs="Arial"/>
          <w:sz w:val="16"/>
          <w:szCs w:val="16"/>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9DC963E" w14:textId="77777777" w:rsidR="00ED5355" w:rsidRDefault="00ED5355"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0E7C86A4" w14:textId="77777777" w:rsidR="00ED5355" w:rsidRPr="0087483A" w:rsidRDefault="00ED5355"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p>
    <w:p w14:paraId="7D3DEF84" w14:textId="77777777" w:rsidR="0087483A" w:rsidRPr="0087483A" w:rsidRDefault="0087483A" w:rsidP="00ED5355">
      <w:pPr>
        <w:pStyle w:val="Prrafodelista"/>
        <w:spacing w:after="0" w:line="240" w:lineRule="auto"/>
        <w:ind w:left="0"/>
        <w:rPr>
          <w:rFonts w:ascii="Geomanist" w:hAnsi="Geomanist" w:cs="Arial"/>
          <w:sz w:val="16"/>
          <w:szCs w:val="16"/>
        </w:rPr>
      </w:pPr>
    </w:p>
    <w:p w14:paraId="4C1A94C9" w14:textId="77777777" w:rsidR="0087483A" w:rsidRPr="0087483A" w:rsidRDefault="0087483A" w:rsidP="00ED535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Geomanist" w:hAnsi="Geomanist" w:cs="Arial"/>
          <w:sz w:val="16"/>
          <w:szCs w:val="16"/>
        </w:rPr>
      </w:pPr>
      <w:r w:rsidRPr="0087483A">
        <w:rPr>
          <w:rFonts w:ascii="Geomanist" w:hAnsi="Geomanist" w:cs="Arial"/>
          <w:b/>
          <w:sz w:val="16"/>
          <w:szCs w:val="16"/>
        </w:rPr>
        <w:t>UNIDAD DE TECNOVIGILANCIA</w:t>
      </w:r>
      <w:r w:rsidRPr="0087483A">
        <w:rPr>
          <w:rFonts w:ascii="Geomanist" w:hAnsi="Geomanist" w:cs="Arial"/>
          <w:sz w:val="16"/>
          <w:szCs w:val="16"/>
        </w:rPr>
        <w:t>, ES LA ENCARGADA DEL DESARROLLO E IMPLEMENTACIÓN DE ACTIVIDADES RELACIONADAS CON LA VIGILANCIA DE LA SEGURIDAD DE LOS DISPOSITIVOS MÉDICOS. COMPRENDE A LOS SECTORES: PÚBLICOS, SOCIAL Y PRIVADOS DEL SISTEMA NACIONAL DE SALUD, ASÍ COMO LAS ÁREAS DESIGNADAS PARA TALES EFECTOS POR EL TITULAR DEL REGISTRO SANITARIO O SU REPRESENTANTE LEGAL EN MÉXICO, ASÍ COMO POR LOS DISTRIBUIDORES Y COMERCIALIZADORES INVOLUCRADOS EN LA CADENA DE DISTRIBUCIÓN DE LOS DISPOSITIVOS MÉDICOS Y A CUALQUIER OTRO ESTABLECIMIENTO INVOLUCRADO EN EL SUMINISTRO DE LOS DISPOSITIVOS MÉDICOS PARA HACERLOS LLEGAR AL PACIENTE O USUARIO FINAL. NOM-240-SSA1-2012, INSTALACIÓN Y OPERACIÓN DE LA TECNOVIGILANCIA, 4.1.26 UNIDAD DE TECNOVIGILANCIA.</w:t>
      </w:r>
    </w:p>
    <w:p w14:paraId="32CACA59" w14:textId="77777777" w:rsidR="0087483A" w:rsidRPr="0087483A" w:rsidRDefault="0087483A" w:rsidP="0087483A">
      <w:pPr>
        <w:ind w:left="360"/>
        <w:jc w:val="center"/>
        <w:rPr>
          <w:rFonts w:ascii="Geomanist" w:hAnsi="Geomanist" w:cs="Arial"/>
          <w:b/>
          <w:bCs/>
          <w:caps/>
          <w:sz w:val="16"/>
          <w:szCs w:val="16"/>
        </w:rPr>
      </w:pPr>
    </w:p>
    <w:p w14:paraId="5A460B4E" w14:textId="77777777" w:rsidR="00ED5355" w:rsidRDefault="00ED5355" w:rsidP="0087483A">
      <w:pPr>
        <w:ind w:left="360"/>
        <w:jc w:val="center"/>
        <w:rPr>
          <w:rFonts w:ascii="Geomanist" w:hAnsi="Geomanist" w:cs="Arial"/>
          <w:b/>
          <w:bCs/>
          <w:caps/>
          <w:sz w:val="16"/>
          <w:szCs w:val="16"/>
        </w:rPr>
      </w:pPr>
    </w:p>
    <w:p w14:paraId="28C17E51" w14:textId="77777777" w:rsidR="0087483A" w:rsidRDefault="0087483A" w:rsidP="0087483A">
      <w:pPr>
        <w:ind w:left="360"/>
        <w:jc w:val="center"/>
        <w:rPr>
          <w:rFonts w:ascii="Geomanist" w:hAnsi="Geomanist" w:cs="Arial"/>
          <w:b/>
          <w:bCs/>
          <w:caps/>
          <w:sz w:val="16"/>
          <w:szCs w:val="16"/>
        </w:rPr>
      </w:pPr>
      <w:r w:rsidRPr="0087483A">
        <w:rPr>
          <w:rFonts w:ascii="Geomanist" w:hAnsi="Geomanist" w:cs="Arial"/>
          <w:b/>
          <w:bCs/>
          <w:caps/>
          <w:sz w:val="16"/>
          <w:szCs w:val="16"/>
        </w:rPr>
        <w:t>OBJETO Y ALCANCE</w:t>
      </w:r>
    </w:p>
    <w:p w14:paraId="4C2CA559" w14:textId="77777777" w:rsidR="00ED5355" w:rsidRPr="0087483A" w:rsidRDefault="00ED5355" w:rsidP="0087483A">
      <w:pPr>
        <w:ind w:left="360"/>
        <w:jc w:val="center"/>
        <w:rPr>
          <w:rFonts w:ascii="Geomanist" w:hAnsi="Geomanist" w:cs="Arial"/>
          <w:b/>
          <w:bCs/>
          <w:caps/>
          <w:sz w:val="16"/>
          <w:szCs w:val="16"/>
        </w:rPr>
      </w:pPr>
    </w:p>
    <w:p w14:paraId="2217B5EE"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El Hospital de Traumatología de la U.M.A.E. “Dr. Victorio de la Fuente Narváez” Ciudad de México requiere del Servicio de Hemodiálisis Intramuros Ambulatoria, como un servicio integral. QUE PERMITA ahorro de instalaciones, máquinas y personal especializado y al derechohabiente que le permitA contar con una atención inmediata y sin traslados a otras unidades.</w:t>
      </w:r>
    </w:p>
    <w:p w14:paraId="67D02464" w14:textId="77777777" w:rsidR="00ED5355" w:rsidRPr="0087483A" w:rsidRDefault="00ED5355" w:rsidP="0087483A">
      <w:pPr>
        <w:jc w:val="both"/>
        <w:rPr>
          <w:rFonts w:ascii="Geomanist" w:hAnsi="Geomanist" w:cs="Arial"/>
          <w:caps/>
          <w:sz w:val="16"/>
          <w:szCs w:val="16"/>
        </w:rPr>
      </w:pPr>
    </w:p>
    <w:p w14:paraId="02AB3066"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Las sesiones realizadas en el Hospital de Traumatología se practican a pacientes con enfermedad renal terminal, estado V, QUE por su estado de gravedad no pueden ser movilizados de la Unidad de Cuidados Intensivos a sus unidades de adscripción  o en los casos de hospitalización el servicio se otorga a pacientes que requieren manejo quirúrgico y provienen de Unidades foráneas, para evitar el traslado a sus estados de Origen.</w:t>
      </w:r>
    </w:p>
    <w:p w14:paraId="37110119" w14:textId="77777777" w:rsidR="00ED5355" w:rsidRPr="0087483A" w:rsidRDefault="00ED5355" w:rsidP="0087483A">
      <w:pPr>
        <w:jc w:val="both"/>
        <w:rPr>
          <w:rFonts w:ascii="Geomanist" w:hAnsi="Geomanist" w:cs="Arial"/>
          <w:caps/>
          <w:sz w:val="16"/>
          <w:szCs w:val="16"/>
        </w:rPr>
      </w:pPr>
    </w:p>
    <w:p w14:paraId="7C6C70B9"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EL PROVEEDOR Deberá designar técnicos capacitados en el Servicio Integral Hemodiálisis Intramuros que dé cobertura a los turnos matutino, vespertino, conforme a la programación quirúrgica de la Unidad Médica institucional, para que asistan logísticamente al personal de “EL INSTITUTO” en todos los procedimientos y proporcionen los equipos, instrumental y consumibles necesarios de acuerdo al procedimiento específico, así como para que verifiquen y garanticen la óptima operación de los insumos señalados; así mismo, este personal deberá permanecer en el área correspondiente según corresponda (UCI, HOSPITALIZACIÓN) sean programados o de urgencias a través de guardias telecomunicaciones. Deberá contar con identificación proporcionada por “EL PROVEEDOR” y siempre deberá portarla en lugar visible que lo identifique durante su estancia en el Hospital de Traumatología “Dr. Victorio de la Fuente Narváez”, Ciudad de México.</w:t>
      </w:r>
    </w:p>
    <w:p w14:paraId="2263DDB9" w14:textId="77777777" w:rsidR="00ED5355" w:rsidRPr="0087483A" w:rsidRDefault="00ED5355" w:rsidP="0087483A">
      <w:pPr>
        <w:jc w:val="both"/>
        <w:rPr>
          <w:rFonts w:ascii="Geomanist" w:hAnsi="Geomanist" w:cs="Arial"/>
          <w:caps/>
          <w:sz w:val="16"/>
          <w:szCs w:val="16"/>
        </w:rPr>
      </w:pPr>
    </w:p>
    <w:p w14:paraId="672D67D6"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 xml:space="preserve">“EL PROVEEDOR” será el responsable del resguardo de equipos, accesorios y consumibles, en la sección proporcionada por la Unidad Médica. </w:t>
      </w:r>
    </w:p>
    <w:p w14:paraId="6C3DBA2D" w14:textId="77777777" w:rsidR="00ED5355" w:rsidRPr="0087483A" w:rsidRDefault="00ED5355" w:rsidP="0087483A">
      <w:pPr>
        <w:jc w:val="both"/>
        <w:rPr>
          <w:rFonts w:ascii="Geomanist" w:hAnsi="Geomanist" w:cs="Arial"/>
          <w:caps/>
          <w:sz w:val="16"/>
          <w:szCs w:val="16"/>
        </w:rPr>
      </w:pPr>
    </w:p>
    <w:p w14:paraId="53F56C9C" w14:textId="77777777"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SUPERVISIÓN DE OPERACIÓN:</w:t>
      </w:r>
    </w:p>
    <w:p w14:paraId="09547DC8"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“EL PROVEEDOR” deberá supervisar las condiciones de operación del servicio ofertado, así como del estado funcional y deterioro de los equipos médicos e instrumental, así también  la calidad y el nivel de suministro de los bienes de consumo. Por otro lado el cumplimiento de las actividades del o los técnicos asignados a la Unidad Médica institucional, con el fin de atender las dudas de los usuarios, apoyar en el buen desempeño del servicio y evitar el desabasto de consumibles.</w:t>
      </w:r>
    </w:p>
    <w:p w14:paraId="171C447D" w14:textId="77777777" w:rsidR="00ED5355" w:rsidRPr="0087483A" w:rsidRDefault="00ED5355" w:rsidP="0087483A">
      <w:pPr>
        <w:jc w:val="both"/>
        <w:rPr>
          <w:rFonts w:ascii="Geomanist" w:hAnsi="Geomanist" w:cs="Arial"/>
          <w:caps/>
          <w:sz w:val="16"/>
          <w:szCs w:val="16"/>
        </w:rPr>
      </w:pPr>
    </w:p>
    <w:p w14:paraId="096A24B9" w14:textId="77777777"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APOYO A LA OPERACIÓN:</w:t>
      </w:r>
    </w:p>
    <w:p w14:paraId="480F7020"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Acciones que deberá realizar “EL PROVEEDOR” con el fin de facilitar las condiciones necesarias para llevar a cabo la prestación del Servicio Integral durante la vigencia del contrato; así mismo, permitir al personal de “EL INSTITUTO” verificar que las mismas se encuentren en óptimas condiciones de uso.</w:t>
      </w:r>
    </w:p>
    <w:p w14:paraId="327C37DE" w14:textId="77777777" w:rsidR="00ED5355" w:rsidRPr="0087483A" w:rsidRDefault="00ED5355" w:rsidP="0087483A">
      <w:pPr>
        <w:jc w:val="both"/>
        <w:rPr>
          <w:rFonts w:ascii="Geomanist" w:hAnsi="Geomanist" w:cs="Arial"/>
          <w:caps/>
          <w:sz w:val="16"/>
          <w:szCs w:val="16"/>
        </w:rPr>
      </w:pPr>
    </w:p>
    <w:p w14:paraId="134D47D5" w14:textId="77777777"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REGISTRO Y CONTROL DE PROCEDIMIENTOS:</w:t>
      </w:r>
    </w:p>
    <w:p w14:paraId="16C95F71"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 xml:space="preserve">Durante la vigencia del contrato, es responsabilidad de “EL PROVEEDOR” entregar la información que se solicita por parte de la Unidad Médica, con fecha de corte al día 25 (veinticinco) de cada mes, </w:t>
      </w:r>
      <w:r w:rsidRPr="0087483A">
        <w:rPr>
          <w:rFonts w:ascii="Geomanist" w:hAnsi="Geomanist" w:cs="Arial"/>
          <w:caps/>
          <w:sz w:val="16"/>
          <w:szCs w:val="16"/>
        </w:rPr>
        <w:lastRenderedPageBreak/>
        <w:t xml:space="preserve">a la cuenta de correo electrónico si_pmi@imss.gob.mx conforme a la Norma 2000-001-001 de Servicios Médicos Integrales, para efectos de control del servicios otorgado. </w:t>
      </w:r>
    </w:p>
    <w:p w14:paraId="06017813" w14:textId="77777777" w:rsidR="00D9429B" w:rsidRPr="0087483A" w:rsidRDefault="00D9429B" w:rsidP="0087483A">
      <w:pPr>
        <w:jc w:val="both"/>
        <w:rPr>
          <w:rFonts w:ascii="Geomanist" w:hAnsi="Geomanist" w:cs="Arial"/>
          <w:caps/>
          <w:sz w:val="16"/>
          <w:szCs w:val="16"/>
        </w:rPr>
      </w:pPr>
    </w:p>
    <w:p w14:paraId="465F3A35"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 xml:space="preserve"> “EL PROVEEDOR” debe entregar el respaldo de la información que haya generado durante la vigencia del contrato al director de la UMAE, con periodicidad mensual durante toda la vigencia del contrato.</w:t>
      </w:r>
    </w:p>
    <w:p w14:paraId="01681ADE" w14:textId="77777777" w:rsidR="00D9429B" w:rsidRDefault="00D9429B" w:rsidP="0087483A">
      <w:pPr>
        <w:jc w:val="both"/>
        <w:rPr>
          <w:rFonts w:ascii="Geomanist" w:hAnsi="Geomanist" w:cs="Arial"/>
          <w:caps/>
          <w:sz w:val="16"/>
          <w:szCs w:val="16"/>
        </w:rPr>
      </w:pPr>
    </w:p>
    <w:p w14:paraId="11DB5F56" w14:textId="77777777" w:rsidR="00D9429B" w:rsidRDefault="00D9429B" w:rsidP="0087483A">
      <w:pPr>
        <w:jc w:val="both"/>
        <w:rPr>
          <w:rFonts w:ascii="Geomanist" w:hAnsi="Geomanist" w:cs="Arial"/>
          <w:caps/>
          <w:sz w:val="16"/>
          <w:szCs w:val="16"/>
        </w:rPr>
      </w:pPr>
    </w:p>
    <w:p w14:paraId="27E531EC" w14:textId="77777777" w:rsidR="00D9429B" w:rsidRPr="0087483A" w:rsidRDefault="00D9429B" w:rsidP="0087483A">
      <w:pPr>
        <w:jc w:val="both"/>
        <w:rPr>
          <w:rFonts w:ascii="Geomanist" w:hAnsi="Geomanist" w:cs="Arial"/>
          <w:caps/>
          <w:sz w:val="16"/>
          <w:szCs w:val="16"/>
        </w:rPr>
      </w:pPr>
    </w:p>
    <w:p w14:paraId="4E48DA05" w14:textId="77777777"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I. DESCRIPCIÓN AMPLIA Y DETALLADA:</w:t>
      </w:r>
    </w:p>
    <w:p w14:paraId="5BE0D8B1" w14:textId="77777777" w:rsidR="0087483A" w:rsidRPr="0087483A" w:rsidRDefault="0087483A" w:rsidP="0087483A">
      <w:pPr>
        <w:jc w:val="both"/>
        <w:rPr>
          <w:rFonts w:ascii="Geomanist" w:hAnsi="Geomanist" w:cs="Arial"/>
          <w:caps/>
          <w:sz w:val="16"/>
          <w:szCs w:val="16"/>
        </w:rPr>
      </w:pPr>
    </w:p>
    <w:tbl>
      <w:tblPr>
        <w:tblW w:w="5000" w:type="pct"/>
        <w:jc w:val="center"/>
        <w:tblCellMar>
          <w:left w:w="0" w:type="dxa"/>
          <w:right w:w="0" w:type="dxa"/>
        </w:tblCellMar>
        <w:tblLook w:val="04A0" w:firstRow="1" w:lastRow="0" w:firstColumn="1" w:lastColumn="0" w:noHBand="0" w:noVBand="1"/>
      </w:tblPr>
      <w:tblGrid>
        <w:gridCol w:w="742"/>
        <w:gridCol w:w="823"/>
        <w:gridCol w:w="1142"/>
        <w:gridCol w:w="395"/>
        <w:gridCol w:w="383"/>
        <w:gridCol w:w="529"/>
        <w:gridCol w:w="2479"/>
        <w:gridCol w:w="877"/>
        <w:gridCol w:w="881"/>
        <w:gridCol w:w="1042"/>
      </w:tblGrid>
      <w:tr w:rsidR="0087483A" w:rsidRPr="0087483A" w14:paraId="02E142D0" w14:textId="77777777" w:rsidTr="00D9429B">
        <w:trPr>
          <w:trHeight w:val="255"/>
          <w:jc w:val="center"/>
        </w:trPr>
        <w:tc>
          <w:tcPr>
            <w:tcW w:w="359" w:type="pct"/>
            <w:vMerge w:val="restart"/>
            <w:tcBorders>
              <w:top w:val="single" w:sz="4" w:space="0" w:color="auto"/>
              <w:left w:val="single" w:sz="4" w:space="0" w:color="auto"/>
              <w:bottom w:val="single" w:sz="4" w:space="0" w:color="000000"/>
              <w:right w:val="single" w:sz="4" w:space="0" w:color="auto"/>
            </w:tcBorders>
            <w:shd w:val="clear" w:color="000000" w:fill="065E0A"/>
            <w:tcMar>
              <w:top w:w="15" w:type="dxa"/>
              <w:left w:w="15" w:type="dxa"/>
              <w:bottom w:w="0" w:type="dxa"/>
              <w:right w:w="15" w:type="dxa"/>
            </w:tcMar>
            <w:vAlign w:val="center"/>
            <w:hideMark/>
          </w:tcPr>
          <w:p w14:paraId="5BE5E733"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NUM. PARTIDA</w:t>
            </w:r>
          </w:p>
        </w:tc>
        <w:tc>
          <w:tcPr>
            <w:tcW w:w="1764" w:type="pct"/>
            <w:gridSpan w:val="5"/>
            <w:tcBorders>
              <w:top w:val="single" w:sz="4" w:space="0" w:color="auto"/>
              <w:left w:val="nil"/>
              <w:bottom w:val="single" w:sz="4" w:space="0" w:color="auto"/>
              <w:right w:val="single" w:sz="4" w:space="0" w:color="auto"/>
            </w:tcBorders>
            <w:shd w:val="clear" w:color="000000" w:fill="065E0A"/>
            <w:tcMar>
              <w:top w:w="15" w:type="dxa"/>
              <w:left w:w="15" w:type="dxa"/>
              <w:bottom w:w="0" w:type="dxa"/>
              <w:right w:w="15" w:type="dxa"/>
            </w:tcMar>
            <w:vAlign w:val="center"/>
            <w:hideMark/>
          </w:tcPr>
          <w:p w14:paraId="1DE374C2"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16. COD. MAT. ALMACEN</w:t>
            </w:r>
          </w:p>
        </w:tc>
        <w:tc>
          <w:tcPr>
            <w:tcW w:w="1343" w:type="pct"/>
            <w:vMerge w:val="restart"/>
            <w:tcBorders>
              <w:top w:val="single" w:sz="4" w:space="0" w:color="auto"/>
              <w:left w:val="single" w:sz="4" w:space="0" w:color="auto"/>
              <w:bottom w:val="single" w:sz="4" w:space="0" w:color="auto"/>
              <w:right w:val="single" w:sz="4" w:space="0" w:color="auto"/>
            </w:tcBorders>
            <w:shd w:val="clear" w:color="000000" w:fill="065E0A"/>
            <w:tcMar>
              <w:top w:w="15" w:type="dxa"/>
              <w:left w:w="15" w:type="dxa"/>
              <w:bottom w:w="0" w:type="dxa"/>
              <w:right w:w="15" w:type="dxa"/>
            </w:tcMar>
            <w:vAlign w:val="center"/>
            <w:hideMark/>
          </w:tcPr>
          <w:p w14:paraId="3A02F92A"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22. DESCRIPCIÓN</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065E0A"/>
            <w:tcMar>
              <w:top w:w="15" w:type="dxa"/>
              <w:left w:w="15" w:type="dxa"/>
              <w:bottom w:w="0" w:type="dxa"/>
              <w:right w:w="15" w:type="dxa"/>
            </w:tcMar>
            <w:vAlign w:val="center"/>
            <w:hideMark/>
          </w:tcPr>
          <w:p w14:paraId="1F1D8D10"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21. UNIDAD DE MEDIDA</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065E0A"/>
            <w:tcMar>
              <w:top w:w="15" w:type="dxa"/>
              <w:left w:w="15" w:type="dxa"/>
              <w:bottom w:w="0" w:type="dxa"/>
              <w:right w:w="15" w:type="dxa"/>
            </w:tcMar>
            <w:vAlign w:val="center"/>
            <w:hideMark/>
          </w:tcPr>
          <w:p w14:paraId="4BB95942"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20. CANTIDAD MÍNIMA TRAUMA</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065E0A"/>
            <w:tcMar>
              <w:top w:w="15" w:type="dxa"/>
              <w:left w:w="15" w:type="dxa"/>
              <w:bottom w:w="0" w:type="dxa"/>
              <w:right w:w="15" w:type="dxa"/>
            </w:tcMar>
            <w:vAlign w:val="center"/>
            <w:hideMark/>
          </w:tcPr>
          <w:p w14:paraId="20A20688"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20. CANTIDAD MÁXIMA TRAUMA</w:t>
            </w:r>
          </w:p>
        </w:tc>
      </w:tr>
      <w:tr w:rsidR="0087483A" w:rsidRPr="0087483A" w14:paraId="758026A1" w14:textId="77777777" w:rsidTr="00D9429B">
        <w:trPr>
          <w:trHeight w:val="255"/>
          <w:jc w:val="center"/>
        </w:trPr>
        <w:tc>
          <w:tcPr>
            <w:tcW w:w="359" w:type="pct"/>
            <w:vMerge/>
            <w:tcBorders>
              <w:top w:val="single" w:sz="4" w:space="0" w:color="auto"/>
              <w:left w:val="single" w:sz="4" w:space="0" w:color="auto"/>
              <w:bottom w:val="single" w:sz="4" w:space="0" w:color="000000"/>
              <w:right w:val="single" w:sz="4" w:space="0" w:color="auto"/>
            </w:tcBorders>
            <w:vAlign w:val="center"/>
            <w:hideMark/>
          </w:tcPr>
          <w:p w14:paraId="16CCC9E8" w14:textId="77777777" w:rsidR="0087483A" w:rsidRPr="0087483A" w:rsidRDefault="0087483A" w:rsidP="0087483A">
            <w:pPr>
              <w:rPr>
                <w:rFonts w:ascii="Geomanist" w:hAnsi="Geomanist" w:cs="Calibri"/>
                <w:b/>
                <w:bCs/>
                <w:color w:val="FFFFFF"/>
                <w:sz w:val="16"/>
                <w:szCs w:val="16"/>
              </w:rPr>
            </w:pPr>
          </w:p>
        </w:tc>
        <w:tc>
          <w:tcPr>
            <w:tcW w:w="452" w:type="pct"/>
            <w:tcBorders>
              <w:top w:val="nil"/>
              <w:left w:val="nil"/>
              <w:bottom w:val="single" w:sz="4" w:space="0" w:color="auto"/>
              <w:right w:val="single" w:sz="4" w:space="0" w:color="auto"/>
            </w:tcBorders>
            <w:shd w:val="clear" w:color="000000" w:fill="065E0A"/>
            <w:noWrap/>
            <w:tcMar>
              <w:top w:w="15" w:type="dxa"/>
              <w:left w:w="15" w:type="dxa"/>
              <w:bottom w:w="0" w:type="dxa"/>
              <w:right w:w="15" w:type="dxa"/>
            </w:tcMar>
            <w:vAlign w:val="center"/>
            <w:hideMark/>
          </w:tcPr>
          <w:p w14:paraId="496A806E"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SISTEMA</w:t>
            </w:r>
          </w:p>
        </w:tc>
        <w:tc>
          <w:tcPr>
            <w:tcW w:w="581" w:type="pct"/>
            <w:tcBorders>
              <w:top w:val="nil"/>
              <w:left w:val="nil"/>
              <w:bottom w:val="single" w:sz="4" w:space="0" w:color="auto"/>
              <w:right w:val="single" w:sz="4" w:space="0" w:color="auto"/>
            </w:tcBorders>
            <w:shd w:val="clear" w:color="000000" w:fill="065E0A"/>
            <w:noWrap/>
            <w:tcMar>
              <w:top w:w="15" w:type="dxa"/>
              <w:left w:w="15" w:type="dxa"/>
              <w:bottom w:w="0" w:type="dxa"/>
              <w:right w:w="15" w:type="dxa"/>
            </w:tcMar>
            <w:vAlign w:val="center"/>
            <w:hideMark/>
          </w:tcPr>
          <w:p w14:paraId="15CDE0D1"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DESCRIPCION</w:t>
            </w:r>
          </w:p>
        </w:tc>
        <w:tc>
          <w:tcPr>
            <w:tcW w:w="219" w:type="pct"/>
            <w:tcBorders>
              <w:top w:val="nil"/>
              <w:left w:val="nil"/>
              <w:bottom w:val="single" w:sz="4" w:space="0" w:color="auto"/>
              <w:right w:val="single" w:sz="4" w:space="0" w:color="auto"/>
            </w:tcBorders>
            <w:shd w:val="clear" w:color="000000" w:fill="065E0A"/>
            <w:noWrap/>
            <w:tcMar>
              <w:top w:w="15" w:type="dxa"/>
              <w:left w:w="15" w:type="dxa"/>
              <w:bottom w:w="0" w:type="dxa"/>
              <w:right w:w="15" w:type="dxa"/>
            </w:tcMar>
            <w:vAlign w:val="center"/>
            <w:hideMark/>
          </w:tcPr>
          <w:p w14:paraId="16367823"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ESP.</w:t>
            </w:r>
          </w:p>
        </w:tc>
        <w:tc>
          <w:tcPr>
            <w:tcW w:w="218" w:type="pct"/>
            <w:tcBorders>
              <w:top w:val="nil"/>
              <w:left w:val="nil"/>
              <w:bottom w:val="single" w:sz="4" w:space="0" w:color="auto"/>
              <w:right w:val="single" w:sz="4" w:space="0" w:color="auto"/>
            </w:tcBorders>
            <w:shd w:val="clear" w:color="000000" w:fill="065E0A"/>
            <w:noWrap/>
            <w:tcMar>
              <w:top w:w="15" w:type="dxa"/>
              <w:left w:w="15" w:type="dxa"/>
              <w:bottom w:w="0" w:type="dxa"/>
              <w:right w:w="15" w:type="dxa"/>
            </w:tcMar>
            <w:vAlign w:val="center"/>
            <w:hideMark/>
          </w:tcPr>
          <w:p w14:paraId="42AB91C2"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DIF.</w:t>
            </w:r>
          </w:p>
        </w:tc>
        <w:tc>
          <w:tcPr>
            <w:tcW w:w="294" w:type="pct"/>
            <w:tcBorders>
              <w:top w:val="nil"/>
              <w:left w:val="nil"/>
              <w:bottom w:val="single" w:sz="4" w:space="0" w:color="auto"/>
              <w:right w:val="single" w:sz="4" w:space="0" w:color="auto"/>
            </w:tcBorders>
            <w:shd w:val="clear" w:color="000000" w:fill="065E0A"/>
            <w:noWrap/>
            <w:tcMar>
              <w:top w:w="15" w:type="dxa"/>
              <w:left w:w="15" w:type="dxa"/>
              <w:bottom w:w="0" w:type="dxa"/>
              <w:right w:w="15" w:type="dxa"/>
            </w:tcMar>
            <w:vAlign w:val="center"/>
            <w:hideMark/>
          </w:tcPr>
          <w:p w14:paraId="4B039E69" w14:textId="77777777" w:rsidR="0087483A" w:rsidRPr="0087483A" w:rsidRDefault="0087483A" w:rsidP="0087483A">
            <w:pPr>
              <w:jc w:val="center"/>
              <w:rPr>
                <w:rFonts w:ascii="Geomanist" w:hAnsi="Geomanist" w:cs="Calibri"/>
                <w:b/>
                <w:bCs/>
                <w:color w:val="FFFFFF"/>
                <w:sz w:val="16"/>
                <w:szCs w:val="16"/>
              </w:rPr>
            </w:pPr>
            <w:r w:rsidRPr="0087483A">
              <w:rPr>
                <w:rFonts w:ascii="Geomanist" w:hAnsi="Geomanist" w:cs="Calibri"/>
                <w:b/>
                <w:bCs/>
                <w:color w:val="FFFFFF"/>
                <w:sz w:val="16"/>
                <w:szCs w:val="16"/>
              </w:rPr>
              <w:t>VAR.</w:t>
            </w:r>
          </w:p>
        </w:tc>
        <w:tc>
          <w:tcPr>
            <w:tcW w:w="1343" w:type="pct"/>
            <w:vMerge/>
            <w:tcBorders>
              <w:top w:val="single" w:sz="4" w:space="0" w:color="auto"/>
              <w:left w:val="single" w:sz="4" w:space="0" w:color="auto"/>
              <w:bottom w:val="single" w:sz="4" w:space="0" w:color="auto"/>
              <w:right w:val="single" w:sz="4" w:space="0" w:color="auto"/>
            </w:tcBorders>
            <w:vAlign w:val="center"/>
            <w:hideMark/>
          </w:tcPr>
          <w:p w14:paraId="64E1014D" w14:textId="77777777" w:rsidR="0087483A" w:rsidRPr="0087483A" w:rsidRDefault="0087483A" w:rsidP="0087483A">
            <w:pPr>
              <w:rPr>
                <w:rFonts w:ascii="Geomanist" w:hAnsi="Geomanist" w:cs="Calibri"/>
                <w:b/>
                <w:bCs/>
                <w:color w:val="FFFFFF"/>
                <w:sz w:val="16"/>
                <w:szCs w:val="16"/>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6FBDB0A" w14:textId="77777777" w:rsidR="0087483A" w:rsidRPr="0087483A" w:rsidRDefault="0087483A" w:rsidP="0087483A">
            <w:pPr>
              <w:rPr>
                <w:rFonts w:ascii="Geomanist" w:hAnsi="Geomanist" w:cs="Calibri"/>
                <w:b/>
                <w:bCs/>
                <w:color w:val="FFFFFF"/>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270ECFF9" w14:textId="77777777" w:rsidR="0087483A" w:rsidRPr="0087483A" w:rsidRDefault="0087483A" w:rsidP="0087483A">
            <w:pPr>
              <w:rPr>
                <w:rFonts w:ascii="Geomanist" w:hAnsi="Geomanist" w:cs="Calibri"/>
                <w:b/>
                <w:bCs/>
                <w:color w:val="FFFFFF"/>
                <w:sz w:val="16"/>
                <w:szCs w:val="16"/>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7E4D45EA" w14:textId="77777777" w:rsidR="0087483A" w:rsidRPr="0087483A" w:rsidRDefault="0087483A" w:rsidP="0087483A">
            <w:pPr>
              <w:rPr>
                <w:rFonts w:ascii="Geomanist" w:hAnsi="Geomanist" w:cs="Calibri"/>
                <w:b/>
                <w:bCs/>
                <w:color w:val="FFFFFF"/>
                <w:sz w:val="16"/>
                <w:szCs w:val="16"/>
              </w:rPr>
            </w:pPr>
          </w:p>
        </w:tc>
      </w:tr>
      <w:tr w:rsidR="0087483A" w:rsidRPr="0087483A" w14:paraId="76891B80" w14:textId="77777777" w:rsidTr="00D9429B">
        <w:trPr>
          <w:trHeight w:val="540"/>
          <w:jc w:val="center"/>
        </w:trPr>
        <w:tc>
          <w:tcPr>
            <w:tcW w:w="35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56DBCF" w14:textId="77777777" w:rsidR="0087483A" w:rsidRPr="0087483A" w:rsidRDefault="0087483A" w:rsidP="0087483A">
            <w:pPr>
              <w:jc w:val="center"/>
              <w:rPr>
                <w:rFonts w:ascii="Geomanist" w:hAnsi="Geomanist" w:cs="Calibri"/>
                <w:b/>
                <w:bCs/>
                <w:color w:val="000000"/>
                <w:sz w:val="16"/>
                <w:szCs w:val="16"/>
              </w:rPr>
            </w:pPr>
            <w:r w:rsidRPr="0087483A">
              <w:rPr>
                <w:rFonts w:ascii="Geomanist" w:hAnsi="Geomanist" w:cs="Calibri"/>
                <w:b/>
                <w:bCs/>
                <w:color w:val="000000"/>
                <w:sz w:val="16"/>
                <w:szCs w:val="16"/>
              </w:rPr>
              <w:t>1</w:t>
            </w:r>
          </w:p>
          <w:p w14:paraId="2F3B6EA4" w14:textId="77777777" w:rsidR="0087483A" w:rsidRPr="0087483A" w:rsidRDefault="0087483A" w:rsidP="0087483A">
            <w:pPr>
              <w:jc w:val="center"/>
              <w:rPr>
                <w:rFonts w:ascii="Geomanist" w:hAnsi="Geomanist" w:cs="Calibri"/>
                <w:b/>
                <w:bCs/>
                <w:color w:val="000000"/>
                <w:sz w:val="16"/>
                <w:szCs w:val="16"/>
              </w:rPr>
            </w:pPr>
          </w:p>
        </w:tc>
        <w:tc>
          <w:tcPr>
            <w:tcW w:w="1764" w:type="pct"/>
            <w:gridSpan w:val="5"/>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6104646" w14:textId="77777777" w:rsidR="0087483A" w:rsidRPr="0087483A" w:rsidRDefault="0087483A" w:rsidP="0087483A">
            <w:pPr>
              <w:jc w:val="center"/>
              <w:rPr>
                <w:rFonts w:ascii="Geomanist" w:hAnsi="Geomanist" w:cs="Calibri"/>
                <w:b/>
                <w:bCs/>
                <w:color w:val="000000"/>
                <w:sz w:val="16"/>
                <w:szCs w:val="16"/>
              </w:rPr>
            </w:pPr>
            <w:r w:rsidRPr="0087483A">
              <w:rPr>
                <w:rFonts w:ascii="Geomanist" w:hAnsi="Geomanist" w:cs="Calibri"/>
                <w:b/>
                <w:bCs/>
                <w:color w:val="000000"/>
                <w:sz w:val="16"/>
                <w:szCs w:val="16"/>
              </w:rPr>
              <w:t>SERVICIO</w:t>
            </w:r>
          </w:p>
          <w:p w14:paraId="0964A3DB" w14:textId="77777777" w:rsidR="0087483A" w:rsidRPr="0087483A" w:rsidRDefault="0087483A" w:rsidP="0087483A">
            <w:pPr>
              <w:jc w:val="center"/>
              <w:rPr>
                <w:rFonts w:ascii="Geomanist" w:hAnsi="Geomanist" w:cs="Calibri"/>
                <w:b/>
                <w:bCs/>
                <w:color w:val="000000"/>
                <w:sz w:val="16"/>
                <w:szCs w:val="16"/>
              </w:rPr>
            </w:pPr>
          </w:p>
        </w:tc>
        <w:tc>
          <w:tcPr>
            <w:tcW w:w="134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EB36A" w14:textId="77777777" w:rsidR="0087483A" w:rsidRPr="0087483A" w:rsidRDefault="0087483A" w:rsidP="0087483A">
            <w:pPr>
              <w:rPr>
                <w:rFonts w:ascii="Geomanist" w:hAnsi="Geomanist" w:cs="Calibri"/>
                <w:b/>
                <w:bCs/>
                <w:color w:val="000000"/>
                <w:sz w:val="16"/>
                <w:szCs w:val="16"/>
              </w:rPr>
            </w:pPr>
            <w:r w:rsidRPr="0087483A">
              <w:rPr>
                <w:rFonts w:ascii="Geomanist" w:hAnsi="Geomanist" w:cs="Calibri"/>
                <w:b/>
                <w:bCs/>
                <w:color w:val="000000"/>
                <w:sz w:val="16"/>
                <w:szCs w:val="16"/>
              </w:rPr>
              <w:t>Servicio Médico Integral de Hemodiálisis Intramuros</w:t>
            </w:r>
          </w:p>
        </w:tc>
        <w:tc>
          <w:tcPr>
            <w:tcW w:w="48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65E5D1" w14:textId="77777777" w:rsidR="0087483A" w:rsidRPr="0087483A" w:rsidRDefault="0087483A" w:rsidP="0087483A">
            <w:pPr>
              <w:rPr>
                <w:rFonts w:ascii="Geomanist" w:hAnsi="Geomanist" w:cs="Calibri"/>
                <w:b/>
                <w:bCs/>
                <w:color w:val="000000"/>
                <w:sz w:val="16"/>
                <w:szCs w:val="16"/>
              </w:rPr>
            </w:pPr>
            <w:r w:rsidRPr="0087483A">
              <w:rPr>
                <w:rFonts w:ascii="Geomanist" w:hAnsi="Geomanist" w:cs="Calibri"/>
                <w:b/>
                <w:bCs/>
                <w:color w:val="000000"/>
                <w:sz w:val="16"/>
                <w:szCs w:val="16"/>
              </w:rPr>
              <w:t>SESIÓN</w:t>
            </w:r>
          </w:p>
        </w:tc>
        <w:tc>
          <w:tcPr>
            <w:tcW w:w="48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2E4397" w14:textId="1E52D031" w:rsidR="0087483A" w:rsidRPr="0087483A" w:rsidRDefault="00D9429B" w:rsidP="0087483A">
            <w:pPr>
              <w:jc w:val="right"/>
              <w:rPr>
                <w:rFonts w:ascii="Geomanist" w:hAnsi="Geomanist" w:cs="Calibri"/>
                <w:b/>
                <w:bCs/>
                <w:color w:val="000000"/>
                <w:sz w:val="16"/>
                <w:szCs w:val="16"/>
              </w:rPr>
            </w:pPr>
            <w:r>
              <w:rPr>
                <w:rFonts w:ascii="Geomanist" w:hAnsi="Geomanist" w:cs="Calibri"/>
                <w:b/>
                <w:bCs/>
                <w:color w:val="000000"/>
                <w:sz w:val="16"/>
                <w:szCs w:val="16"/>
              </w:rPr>
              <w:t>170</w:t>
            </w:r>
          </w:p>
        </w:tc>
        <w:tc>
          <w:tcPr>
            <w:tcW w:w="5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E3C855" w14:textId="49E92944" w:rsidR="0087483A" w:rsidRPr="0087483A" w:rsidRDefault="00D9429B" w:rsidP="0087483A">
            <w:pPr>
              <w:jc w:val="right"/>
              <w:rPr>
                <w:rFonts w:ascii="Geomanist" w:hAnsi="Geomanist" w:cs="Calibri"/>
                <w:b/>
                <w:bCs/>
                <w:color w:val="000000"/>
                <w:sz w:val="16"/>
                <w:szCs w:val="16"/>
              </w:rPr>
            </w:pPr>
            <w:r>
              <w:rPr>
                <w:rFonts w:ascii="Geomanist" w:hAnsi="Geomanist" w:cs="Calibri"/>
                <w:b/>
                <w:bCs/>
                <w:color w:val="000000"/>
                <w:sz w:val="16"/>
                <w:szCs w:val="16"/>
              </w:rPr>
              <w:t>425</w:t>
            </w:r>
          </w:p>
        </w:tc>
      </w:tr>
    </w:tbl>
    <w:p w14:paraId="04F0E74D" w14:textId="77777777" w:rsidR="0087483A" w:rsidRPr="0087483A" w:rsidRDefault="0087483A" w:rsidP="0087483A">
      <w:pPr>
        <w:jc w:val="both"/>
        <w:rPr>
          <w:rFonts w:ascii="Geomanist" w:hAnsi="Geomanist" w:cs="Arial"/>
          <w:caps/>
          <w:sz w:val="16"/>
          <w:szCs w:val="16"/>
        </w:rPr>
      </w:pPr>
    </w:p>
    <w:p w14:paraId="28E63ABC"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Para satisfacer necesidades de los pacientes que son atendidos en el Hospital de Traumatología de esta U.M.A.E. “Dr. Victorio de la Fuente Narváez” Ciudad de México.</w:t>
      </w:r>
    </w:p>
    <w:p w14:paraId="6A099F78" w14:textId="77777777" w:rsidR="00D9429B" w:rsidRPr="0087483A" w:rsidRDefault="00D9429B" w:rsidP="0087483A">
      <w:pPr>
        <w:jc w:val="both"/>
        <w:rPr>
          <w:rFonts w:ascii="Geomanist" w:hAnsi="Geomanist" w:cs="Arial"/>
          <w:caps/>
          <w:sz w:val="16"/>
          <w:szCs w:val="16"/>
        </w:rPr>
      </w:pPr>
    </w:p>
    <w:p w14:paraId="2367F5E5" w14:textId="77777777"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II.</w:t>
      </w:r>
      <w:r w:rsidRPr="0087483A">
        <w:rPr>
          <w:rFonts w:ascii="Geomanist" w:hAnsi="Geomanist" w:cs="Arial"/>
          <w:caps/>
          <w:sz w:val="16"/>
          <w:szCs w:val="16"/>
        </w:rPr>
        <w:tab/>
        <w:t>PLAZOS Y CONDICIONES DE LA ADQUISICIÓN.</w:t>
      </w:r>
    </w:p>
    <w:p w14:paraId="6651237D" w14:textId="3734C154" w:rsidR="0087483A" w:rsidRPr="00D9429B" w:rsidRDefault="0087483A" w:rsidP="00D9429B">
      <w:pPr>
        <w:pStyle w:val="Prrafodelista"/>
        <w:numPr>
          <w:ilvl w:val="0"/>
          <w:numId w:val="11"/>
        </w:numPr>
        <w:jc w:val="both"/>
        <w:rPr>
          <w:rFonts w:ascii="Geomanist" w:hAnsi="Geomanist" w:cs="Arial"/>
          <w:caps/>
          <w:sz w:val="16"/>
          <w:szCs w:val="16"/>
        </w:rPr>
      </w:pPr>
      <w:r w:rsidRPr="00D9429B">
        <w:rPr>
          <w:rFonts w:ascii="Geomanist" w:hAnsi="Geomanist" w:cs="Arial"/>
          <w:caps/>
          <w:sz w:val="16"/>
          <w:szCs w:val="16"/>
        </w:rPr>
        <w:t>Vigencia de la contratación: A PARTIR DE LA EMISIÓN DEL FALLO al 31 de diciembre de 202</w:t>
      </w:r>
      <w:r w:rsidR="00D9429B" w:rsidRPr="00D9429B">
        <w:rPr>
          <w:rFonts w:ascii="Geomanist" w:hAnsi="Geomanist" w:cs="Arial"/>
          <w:caps/>
          <w:sz w:val="16"/>
          <w:szCs w:val="16"/>
        </w:rPr>
        <w:t>5</w:t>
      </w:r>
      <w:r w:rsidRPr="00D9429B">
        <w:rPr>
          <w:rFonts w:ascii="Geomanist" w:hAnsi="Geomanist" w:cs="Arial"/>
          <w:caps/>
          <w:sz w:val="16"/>
          <w:szCs w:val="16"/>
        </w:rPr>
        <w:t>.</w:t>
      </w:r>
    </w:p>
    <w:p w14:paraId="71E34757" w14:textId="77777777" w:rsidR="00D9429B" w:rsidRPr="00D9429B" w:rsidRDefault="00D9429B" w:rsidP="00D9429B">
      <w:pPr>
        <w:pStyle w:val="Prrafodelista"/>
        <w:jc w:val="both"/>
        <w:rPr>
          <w:rFonts w:ascii="Geomanist" w:hAnsi="Geomanist" w:cs="Arial"/>
          <w:caps/>
          <w:sz w:val="16"/>
          <w:szCs w:val="16"/>
        </w:rPr>
      </w:pPr>
    </w:p>
    <w:p w14:paraId="51CB4F52"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El servicio Médico Integral de Hemodiálisis Intramuros tendrá carácter de ambulatorio y deberá otorgarse a los pacientes que lo requieran en las instalaciones del Hospital de Traumatología de ésta U.M.A.E. “Dr. Victorio de la Fuente Narváez” Ciudad de México.</w:t>
      </w:r>
    </w:p>
    <w:p w14:paraId="2FF0AA65" w14:textId="77777777" w:rsidR="00D9429B" w:rsidRPr="0087483A" w:rsidRDefault="00D9429B" w:rsidP="0087483A">
      <w:pPr>
        <w:jc w:val="both"/>
        <w:rPr>
          <w:rFonts w:ascii="Geomanist" w:hAnsi="Geomanist" w:cs="Arial"/>
          <w:caps/>
          <w:sz w:val="16"/>
          <w:szCs w:val="16"/>
        </w:rPr>
      </w:pPr>
    </w:p>
    <w:p w14:paraId="7FAEDF9E"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PLAZO Y LUGAR DE ENTREGA.</w:t>
      </w:r>
    </w:p>
    <w:p w14:paraId="3EC5A953" w14:textId="77777777" w:rsidR="00D9429B" w:rsidRPr="0087483A" w:rsidRDefault="00D9429B" w:rsidP="0087483A">
      <w:pPr>
        <w:jc w:val="both"/>
        <w:rPr>
          <w:rFonts w:ascii="Geomanist" w:hAnsi="Geomanist" w:cs="Arial"/>
          <w:caps/>
          <w:sz w:val="16"/>
          <w:szCs w:val="16"/>
        </w:rPr>
      </w:pPr>
    </w:p>
    <w:p w14:paraId="72C5A0A3" w14:textId="77777777" w:rsidR="0087483A" w:rsidRDefault="0087483A" w:rsidP="0087483A">
      <w:pPr>
        <w:jc w:val="both"/>
        <w:rPr>
          <w:rFonts w:ascii="Geomanist" w:hAnsi="Geomanist" w:cs="Arial"/>
          <w:caps/>
          <w:sz w:val="16"/>
          <w:szCs w:val="16"/>
        </w:rPr>
      </w:pPr>
      <w:bookmarkStart w:id="2" w:name="_Hlk165993641"/>
      <w:r w:rsidRPr="0087483A">
        <w:rPr>
          <w:rFonts w:ascii="Geomanist" w:hAnsi="Geomanist" w:cs="Arial"/>
          <w:caps/>
          <w:sz w:val="16"/>
          <w:szCs w:val="16"/>
        </w:rPr>
        <w:t>El licitante adjudicado deberá suministrar el servicio con las características DESCRITAS EN LA DESCRIPCIÓN AMPLIA Y DETALLADA, a cada una de las unidades hospitalarias descritas, lA que será responsable de llevar el control de los PROCEDIMIENTOS recibidos y de aquellos que se consuman.</w:t>
      </w:r>
      <w:bookmarkEnd w:id="2"/>
    </w:p>
    <w:p w14:paraId="3FFDBDAD" w14:textId="77777777" w:rsidR="00D9429B" w:rsidRPr="0087483A" w:rsidRDefault="00D9429B" w:rsidP="0087483A">
      <w:pPr>
        <w:jc w:val="both"/>
        <w:rPr>
          <w:rFonts w:ascii="Geomanist" w:hAnsi="Geomanist" w:cs="Arial"/>
          <w:caps/>
          <w:sz w:val="16"/>
          <w:szCs w:val="16"/>
        </w:rPr>
      </w:pPr>
    </w:p>
    <w:p w14:paraId="22B09151"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CONDICIONES DE ENTREGA</w:t>
      </w:r>
    </w:p>
    <w:p w14:paraId="04627E9A" w14:textId="77777777" w:rsidR="00D9429B" w:rsidRPr="0087483A" w:rsidRDefault="00D9429B" w:rsidP="0087483A">
      <w:pPr>
        <w:jc w:val="both"/>
        <w:rPr>
          <w:rFonts w:ascii="Geomanist" w:hAnsi="Geomanist" w:cs="Arial"/>
          <w:caps/>
          <w:sz w:val="16"/>
          <w:szCs w:val="16"/>
        </w:rPr>
      </w:pPr>
    </w:p>
    <w:p w14:paraId="6AC38CE4" w14:textId="77777777"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La transportación, maniobras de carga y descarga en el lugar que se determine serán a cargo del proveedor.</w:t>
      </w:r>
    </w:p>
    <w:p w14:paraId="519F8ADF" w14:textId="77777777" w:rsidR="00D9429B" w:rsidRDefault="00D9429B" w:rsidP="0087483A">
      <w:pPr>
        <w:jc w:val="both"/>
        <w:rPr>
          <w:rFonts w:ascii="Geomanist" w:hAnsi="Geomanist" w:cs="Arial"/>
          <w:caps/>
          <w:sz w:val="16"/>
          <w:szCs w:val="16"/>
        </w:rPr>
      </w:pPr>
    </w:p>
    <w:p w14:paraId="6B00F712" w14:textId="77777777" w:rsidR="0087483A" w:rsidRDefault="0087483A" w:rsidP="0087483A">
      <w:pPr>
        <w:jc w:val="both"/>
        <w:rPr>
          <w:rFonts w:ascii="Geomanist" w:hAnsi="Geomanist" w:cs="Arial"/>
          <w:caps/>
          <w:sz w:val="16"/>
          <w:szCs w:val="16"/>
        </w:rPr>
      </w:pPr>
      <w:r w:rsidRPr="0087483A">
        <w:rPr>
          <w:rFonts w:ascii="Geomanist" w:hAnsi="Geomanist" w:cs="Arial"/>
          <w:caps/>
          <w:sz w:val="16"/>
          <w:szCs w:val="16"/>
        </w:rPr>
        <w:t>El proveedor adjudicado a más tardar dos días hábiles posteriores al fallo, deberá informar por escrito, en cada una de las Unidades Médicas que integran esta UMAE, el nombre y datos de contacto del representante que designe para coordinar las acciones de suministro del servicio.</w:t>
      </w:r>
    </w:p>
    <w:p w14:paraId="709F7E4D" w14:textId="77777777" w:rsidR="00D9429B" w:rsidRPr="0087483A" w:rsidRDefault="00D9429B" w:rsidP="0087483A">
      <w:pPr>
        <w:jc w:val="both"/>
        <w:rPr>
          <w:rFonts w:ascii="Geomanist" w:hAnsi="Geomanist" w:cs="Arial"/>
          <w:caps/>
          <w:sz w:val="16"/>
          <w:szCs w:val="16"/>
        </w:rPr>
      </w:pPr>
    </w:p>
    <w:p w14:paraId="31BD4264" w14:textId="77777777" w:rsidR="00D9429B" w:rsidRDefault="0087483A" w:rsidP="0087483A">
      <w:pPr>
        <w:jc w:val="both"/>
        <w:rPr>
          <w:rFonts w:ascii="Geomanist" w:hAnsi="Geomanist" w:cs="Arial"/>
          <w:caps/>
          <w:sz w:val="16"/>
          <w:szCs w:val="16"/>
        </w:rPr>
      </w:pPr>
      <w:r w:rsidRPr="0087483A">
        <w:rPr>
          <w:rFonts w:ascii="Geomanist" w:hAnsi="Geomanist" w:cs="Arial"/>
          <w:caps/>
          <w:sz w:val="16"/>
          <w:szCs w:val="16"/>
        </w:rPr>
        <w:t>En el supuesto de que las características del servicio sean modificadas, una vez comprobado el cambio por la Secretaría de Salud, se procederá a rechazar el mismo y en consecuencia el Instituto podrá rescindir el contrato.</w:t>
      </w:r>
    </w:p>
    <w:p w14:paraId="1F134B20" w14:textId="44A8B7E4"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ab/>
      </w:r>
    </w:p>
    <w:p w14:paraId="4235DF85" w14:textId="77777777" w:rsidR="0087483A" w:rsidRPr="0087483A" w:rsidRDefault="0087483A" w:rsidP="0087483A">
      <w:pPr>
        <w:jc w:val="both"/>
        <w:rPr>
          <w:rFonts w:ascii="Geomanist" w:hAnsi="Geomanist" w:cs="Arial"/>
          <w:caps/>
          <w:sz w:val="16"/>
          <w:szCs w:val="16"/>
        </w:rPr>
      </w:pPr>
      <w:r w:rsidRPr="0087483A">
        <w:rPr>
          <w:rFonts w:ascii="Geomanist" w:hAnsi="Geomanist" w:cs="Arial"/>
          <w:caps/>
          <w:sz w:val="16"/>
          <w:szCs w:val="16"/>
        </w:rPr>
        <w:t>El proveedor será responsable del aseguramiento del equipo que proporcionará, desde su transportación y recepción, hasta que finalice la vigencia del contrato, toda vez que el equipo es propiedad del proveedor.</w:t>
      </w:r>
    </w:p>
    <w:p w14:paraId="27CCC371" w14:textId="77777777" w:rsidR="0087483A" w:rsidRPr="0087483A" w:rsidRDefault="0087483A" w:rsidP="0087483A">
      <w:pPr>
        <w:jc w:val="both"/>
        <w:rPr>
          <w:rFonts w:ascii="Geomanist" w:hAnsi="Geomanist" w:cs="Arial"/>
          <w:caps/>
          <w:sz w:val="16"/>
          <w:szCs w:val="16"/>
        </w:rPr>
      </w:pPr>
    </w:p>
    <w:p w14:paraId="75727C85" w14:textId="77777777" w:rsidR="0087483A" w:rsidRPr="0087483A" w:rsidRDefault="0087483A" w:rsidP="0087483A">
      <w:pPr>
        <w:jc w:val="both"/>
        <w:rPr>
          <w:rFonts w:ascii="Geomanist" w:hAnsi="Geomanist" w:cs="Arial"/>
          <w:caps/>
          <w:sz w:val="16"/>
          <w:szCs w:val="16"/>
        </w:rPr>
      </w:pPr>
    </w:p>
    <w:p w14:paraId="441FFC8B" w14:textId="77777777" w:rsidR="0087483A" w:rsidRPr="0087483A" w:rsidRDefault="0087483A" w:rsidP="0087483A">
      <w:pPr>
        <w:jc w:val="both"/>
        <w:rPr>
          <w:rFonts w:ascii="Geomanist" w:hAnsi="Geomanist" w:cs="Arial"/>
          <w:caps/>
          <w:sz w:val="16"/>
          <w:szCs w:val="16"/>
        </w:rPr>
      </w:pPr>
    </w:p>
    <w:p w14:paraId="1A282EA6" w14:textId="77777777" w:rsidR="0087483A" w:rsidRPr="0087483A" w:rsidRDefault="0087483A" w:rsidP="0087483A">
      <w:pPr>
        <w:rPr>
          <w:rFonts w:ascii="Geomanist" w:hAnsi="Geomanist"/>
          <w:sz w:val="16"/>
          <w:szCs w:val="16"/>
        </w:rPr>
      </w:pPr>
    </w:p>
    <w:p w14:paraId="12925B18" w14:textId="77777777" w:rsidR="0087483A" w:rsidRPr="0087483A" w:rsidRDefault="0087483A" w:rsidP="0087483A">
      <w:pPr>
        <w:suppressAutoHyphens/>
        <w:jc w:val="center"/>
        <w:rPr>
          <w:rFonts w:ascii="Geomanist" w:eastAsia="Times New Roman" w:hAnsi="Geomanist" w:cs="Arial"/>
          <w:b/>
          <w:sz w:val="16"/>
          <w:szCs w:val="16"/>
          <w:lang w:eastAsia="ar-SA"/>
        </w:rPr>
      </w:pPr>
    </w:p>
    <w:p w14:paraId="13BD5175" w14:textId="77777777" w:rsidR="0087483A" w:rsidRPr="0087483A" w:rsidRDefault="0087483A" w:rsidP="0087483A">
      <w:pPr>
        <w:rPr>
          <w:rFonts w:ascii="Geomanist" w:hAnsi="Geomanist"/>
          <w:sz w:val="16"/>
          <w:szCs w:val="16"/>
          <w:lang w:eastAsia="ar-SA"/>
        </w:rPr>
      </w:pPr>
      <w:bookmarkStart w:id="3" w:name="_Toc152931719"/>
    </w:p>
    <w:p w14:paraId="60EAAFA6" w14:textId="77777777" w:rsidR="0087483A" w:rsidRPr="0087483A" w:rsidRDefault="0087483A" w:rsidP="0087483A">
      <w:pPr>
        <w:rPr>
          <w:rFonts w:ascii="Geomanist" w:hAnsi="Geomanist"/>
          <w:sz w:val="16"/>
          <w:szCs w:val="16"/>
          <w:lang w:eastAsia="ar-SA"/>
        </w:rPr>
      </w:pPr>
    </w:p>
    <w:tbl>
      <w:tblPr>
        <w:tblStyle w:val="Tablaconcuadrcula"/>
        <w:tblW w:w="11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83"/>
        <w:gridCol w:w="5387"/>
      </w:tblGrid>
      <w:tr w:rsidR="0087483A" w:rsidRPr="0087483A" w14:paraId="1CB02089" w14:textId="77777777" w:rsidTr="0087483A">
        <w:trPr>
          <w:jc w:val="center"/>
        </w:trPr>
        <w:tc>
          <w:tcPr>
            <w:tcW w:w="5495" w:type="dxa"/>
            <w:tcBorders>
              <w:bottom w:val="single" w:sz="4" w:space="0" w:color="auto"/>
            </w:tcBorders>
          </w:tcPr>
          <w:p w14:paraId="26614B59" w14:textId="77777777" w:rsidR="0087483A" w:rsidRPr="0087483A" w:rsidRDefault="0087483A" w:rsidP="0087483A">
            <w:pPr>
              <w:rPr>
                <w:rFonts w:ascii="Geomanist" w:hAnsi="Geomanist"/>
                <w:sz w:val="16"/>
                <w:szCs w:val="16"/>
                <w:lang w:eastAsia="ar-SA"/>
              </w:rPr>
            </w:pPr>
          </w:p>
        </w:tc>
        <w:tc>
          <w:tcPr>
            <w:tcW w:w="283" w:type="dxa"/>
          </w:tcPr>
          <w:p w14:paraId="7D945937" w14:textId="77777777" w:rsidR="0087483A" w:rsidRPr="0087483A" w:rsidRDefault="0087483A" w:rsidP="0087483A">
            <w:pPr>
              <w:rPr>
                <w:rFonts w:ascii="Geomanist" w:hAnsi="Geomanist"/>
                <w:sz w:val="16"/>
                <w:szCs w:val="16"/>
                <w:lang w:eastAsia="ar-SA"/>
              </w:rPr>
            </w:pPr>
            <w:r w:rsidRPr="0087483A">
              <w:rPr>
                <w:rFonts w:ascii="Geomanist" w:hAnsi="Geomanist"/>
                <w:sz w:val="16"/>
                <w:szCs w:val="16"/>
                <w:lang w:eastAsia="ar-SA"/>
              </w:rPr>
              <w:t xml:space="preserve"> </w:t>
            </w:r>
          </w:p>
        </w:tc>
        <w:tc>
          <w:tcPr>
            <w:tcW w:w="5387" w:type="dxa"/>
            <w:tcBorders>
              <w:bottom w:val="single" w:sz="4" w:space="0" w:color="auto"/>
            </w:tcBorders>
          </w:tcPr>
          <w:p w14:paraId="3F2F828D" w14:textId="77777777" w:rsidR="0087483A" w:rsidRPr="0087483A" w:rsidRDefault="0087483A" w:rsidP="0087483A">
            <w:pPr>
              <w:rPr>
                <w:rFonts w:ascii="Geomanist" w:hAnsi="Geomanist"/>
                <w:sz w:val="16"/>
                <w:szCs w:val="16"/>
                <w:lang w:eastAsia="ar-SA"/>
              </w:rPr>
            </w:pPr>
          </w:p>
        </w:tc>
      </w:tr>
      <w:tr w:rsidR="0087483A" w:rsidRPr="00F8188F" w14:paraId="733D177E" w14:textId="77777777" w:rsidTr="0087483A">
        <w:trPr>
          <w:jc w:val="center"/>
        </w:trPr>
        <w:tc>
          <w:tcPr>
            <w:tcW w:w="5495" w:type="dxa"/>
            <w:tcBorders>
              <w:top w:val="single" w:sz="4" w:space="0" w:color="auto"/>
            </w:tcBorders>
          </w:tcPr>
          <w:p w14:paraId="2BDCDBEC" w14:textId="77777777" w:rsidR="0087483A" w:rsidRPr="0087483A" w:rsidRDefault="0087483A" w:rsidP="0087483A">
            <w:pPr>
              <w:suppressAutoHyphens/>
              <w:jc w:val="center"/>
              <w:rPr>
                <w:rFonts w:ascii="Geomanist" w:eastAsia="Times New Roman" w:hAnsi="Geomanist" w:cstheme="minorHAnsi"/>
                <w:b/>
                <w:sz w:val="16"/>
                <w:szCs w:val="16"/>
                <w:lang w:eastAsia="ar-SA"/>
              </w:rPr>
            </w:pPr>
            <w:r w:rsidRPr="0087483A">
              <w:rPr>
                <w:rFonts w:ascii="Geomanist" w:eastAsia="Times New Roman" w:hAnsi="Geomanist" w:cstheme="minorHAnsi"/>
                <w:b/>
                <w:sz w:val="16"/>
                <w:szCs w:val="16"/>
                <w:lang w:eastAsia="ar-SA"/>
              </w:rPr>
              <w:t>DR. OSCAR ULISES MORENO MURILLO</w:t>
            </w:r>
          </w:p>
          <w:p w14:paraId="52EDB065" w14:textId="77777777" w:rsidR="0087483A" w:rsidRPr="0087483A" w:rsidRDefault="0087483A" w:rsidP="0087483A">
            <w:pPr>
              <w:suppressAutoHyphens/>
              <w:jc w:val="center"/>
              <w:rPr>
                <w:rFonts w:ascii="Geomanist" w:eastAsia="Times New Roman" w:hAnsi="Geomanist" w:cstheme="minorHAnsi"/>
                <w:b/>
                <w:sz w:val="16"/>
                <w:szCs w:val="16"/>
                <w:lang w:eastAsia="ar-SA"/>
              </w:rPr>
            </w:pPr>
            <w:r w:rsidRPr="0087483A">
              <w:rPr>
                <w:rFonts w:ascii="Geomanist" w:eastAsia="Times New Roman" w:hAnsi="Geomanist" w:cstheme="minorHAnsi"/>
                <w:b/>
                <w:sz w:val="16"/>
                <w:szCs w:val="16"/>
                <w:lang w:eastAsia="ar-SA"/>
              </w:rPr>
              <w:lastRenderedPageBreak/>
              <w:t>DIRECCIÓN MÉDICA</w:t>
            </w:r>
          </w:p>
          <w:p w14:paraId="0394ED5C" w14:textId="77777777" w:rsidR="0087483A" w:rsidRPr="0087483A" w:rsidRDefault="0087483A" w:rsidP="0087483A">
            <w:pPr>
              <w:suppressAutoHyphens/>
              <w:jc w:val="center"/>
              <w:rPr>
                <w:rFonts w:ascii="Geomanist" w:eastAsia="Times New Roman" w:hAnsi="Geomanist" w:cstheme="minorHAnsi"/>
                <w:b/>
                <w:sz w:val="16"/>
                <w:szCs w:val="16"/>
                <w:lang w:eastAsia="ar-SA"/>
              </w:rPr>
            </w:pPr>
            <w:r w:rsidRPr="0087483A">
              <w:rPr>
                <w:rFonts w:ascii="Geomanist" w:eastAsia="Times New Roman" w:hAnsi="Geomanist" w:cstheme="minorHAnsi"/>
                <w:b/>
                <w:sz w:val="16"/>
                <w:szCs w:val="16"/>
                <w:lang w:eastAsia="ar-SA"/>
              </w:rPr>
              <w:t>HOSPITAL DE TRAUMATOLOGÍA</w:t>
            </w:r>
          </w:p>
          <w:p w14:paraId="03628DA9" w14:textId="77777777" w:rsidR="0087483A" w:rsidRPr="0087483A" w:rsidRDefault="0087483A" w:rsidP="0087483A">
            <w:pPr>
              <w:suppressAutoHyphens/>
              <w:jc w:val="center"/>
              <w:rPr>
                <w:rFonts w:ascii="Geomanist" w:eastAsia="Times New Roman" w:hAnsi="Geomanist" w:cstheme="minorHAnsi"/>
                <w:b/>
                <w:sz w:val="16"/>
                <w:szCs w:val="16"/>
                <w:lang w:eastAsia="ar-SA"/>
              </w:rPr>
            </w:pPr>
            <w:r w:rsidRPr="0087483A">
              <w:rPr>
                <w:rFonts w:ascii="Geomanist" w:eastAsia="Times New Roman" w:hAnsi="Geomanist" w:cstheme="minorHAnsi"/>
                <w:b/>
                <w:sz w:val="16"/>
                <w:szCs w:val="16"/>
                <w:lang w:eastAsia="ar-SA"/>
              </w:rPr>
              <w:t>UMAE “DR. VICTORIO DE LA FUENTE NARVÁEZ”</w:t>
            </w:r>
          </w:p>
          <w:p w14:paraId="76E13873" w14:textId="77777777" w:rsidR="0087483A" w:rsidRPr="0087483A" w:rsidRDefault="0087483A" w:rsidP="0087483A">
            <w:pPr>
              <w:jc w:val="center"/>
              <w:rPr>
                <w:rFonts w:ascii="Geomanist" w:hAnsi="Geomanist"/>
                <w:sz w:val="16"/>
                <w:szCs w:val="16"/>
                <w:lang w:eastAsia="ar-SA"/>
              </w:rPr>
            </w:pPr>
            <w:r w:rsidRPr="0087483A">
              <w:rPr>
                <w:rFonts w:ascii="Geomanist" w:eastAsia="Times New Roman" w:hAnsi="Geomanist" w:cstheme="minorHAnsi"/>
                <w:b/>
                <w:sz w:val="16"/>
                <w:szCs w:val="16"/>
                <w:lang w:eastAsia="ar-SA"/>
              </w:rPr>
              <w:t xml:space="preserve"> CIUDAD DE MÉXICO</w:t>
            </w:r>
          </w:p>
        </w:tc>
        <w:tc>
          <w:tcPr>
            <w:tcW w:w="283" w:type="dxa"/>
          </w:tcPr>
          <w:p w14:paraId="393F8C7D" w14:textId="77777777" w:rsidR="0087483A" w:rsidRPr="0087483A" w:rsidRDefault="0087483A" w:rsidP="0087483A">
            <w:pPr>
              <w:jc w:val="center"/>
              <w:rPr>
                <w:rFonts w:ascii="Geomanist" w:hAnsi="Geomanist"/>
                <w:sz w:val="16"/>
                <w:szCs w:val="16"/>
                <w:lang w:eastAsia="ar-SA"/>
              </w:rPr>
            </w:pPr>
          </w:p>
        </w:tc>
        <w:tc>
          <w:tcPr>
            <w:tcW w:w="5387" w:type="dxa"/>
            <w:tcBorders>
              <w:top w:val="single" w:sz="4" w:space="0" w:color="auto"/>
            </w:tcBorders>
          </w:tcPr>
          <w:p w14:paraId="55FD62DD" w14:textId="77777777" w:rsidR="0087483A" w:rsidRPr="00F8188F" w:rsidRDefault="0087483A" w:rsidP="0087483A">
            <w:pPr>
              <w:jc w:val="center"/>
              <w:rPr>
                <w:rFonts w:ascii="Geomanist" w:hAnsi="Geomanist"/>
                <w:b/>
                <w:sz w:val="16"/>
                <w:szCs w:val="16"/>
                <w:lang w:eastAsia="ar-SA"/>
              </w:rPr>
            </w:pPr>
            <w:r w:rsidRPr="00F8188F">
              <w:rPr>
                <w:rFonts w:ascii="Geomanist" w:hAnsi="Geomanist"/>
                <w:b/>
                <w:sz w:val="16"/>
                <w:szCs w:val="16"/>
                <w:lang w:eastAsia="ar-SA"/>
              </w:rPr>
              <w:t>DR. JORGE ALBERTO AGUILERA LÓPEZ</w:t>
            </w:r>
          </w:p>
          <w:p w14:paraId="74C68EC0" w14:textId="17A37D33" w:rsidR="0087483A" w:rsidRPr="00F8188F" w:rsidRDefault="0087483A" w:rsidP="0087483A">
            <w:pPr>
              <w:jc w:val="center"/>
              <w:rPr>
                <w:rFonts w:ascii="Geomanist" w:hAnsi="Geomanist"/>
                <w:b/>
                <w:sz w:val="16"/>
                <w:szCs w:val="16"/>
                <w:lang w:eastAsia="ar-SA"/>
              </w:rPr>
            </w:pPr>
            <w:r w:rsidRPr="00F8188F">
              <w:rPr>
                <w:rFonts w:ascii="Geomanist" w:hAnsi="Geomanist"/>
                <w:b/>
                <w:sz w:val="16"/>
                <w:szCs w:val="16"/>
                <w:lang w:eastAsia="ar-SA"/>
              </w:rPr>
              <w:lastRenderedPageBreak/>
              <w:t>DIVISIÓN DE TRAUMATOLOGÍA</w:t>
            </w:r>
          </w:p>
          <w:p w14:paraId="005F4D1F" w14:textId="77777777" w:rsidR="0087483A" w:rsidRPr="00F8188F" w:rsidRDefault="0087483A" w:rsidP="0087483A">
            <w:pPr>
              <w:jc w:val="center"/>
              <w:rPr>
                <w:rFonts w:ascii="Geomanist" w:hAnsi="Geomanist"/>
                <w:b/>
                <w:sz w:val="16"/>
                <w:szCs w:val="16"/>
                <w:lang w:eastAsia="ar-SA"/>
              </w:rPr>
            </w:pPr>
            <w:r w:rsidRPr="00F8188F">
              <w:rPr>
                <w:rFonts w:ascii="Geomanist" w:hAnsi="Geomanist"/>
                <w:b/>
                <w:sz w:val="16"/>
                <w:szCs w:val="16"/>
                <w:lang w:eastAsia="ar-SA"/>
              </w:rPr>
              <w:t>HOSPITAL DE TRAUMATOLOGÍA</w:t>
            </w:r>
          </w:p>
          <w:p w14:paraId="631E4AFE" w14:textId="77777777" w:rsidR="0087483A" w:rsidRPr="00F8188F" w:rsidRDefault="0087483A" w:rsidP="0087483A">
            <w:pPr>
              <w:jc w:val="center"/>
              <w:rPr>
                <w:rFonts w:ascii="Geomanist" w:hAnsi="Geomanist"/>
                <w:b/>
                <w:sz w:val="16"/>
                <w:szCs w:val="16"/>
                <w:lang w:eastAsia="ar-SA"/>
              </w:rPr>
            </w:pPr>
            <w:r w:rsidRPr="00F8188F">
              <w:rPr>
                <w:rFonts w:ascii="Geomanist" w:hAnsi="Geomanist"/>
                <w:b/>
                <w:sz w:val="16"/>
                <w:szCs w:val="16"/>
                <w:lang w:eastAsia="ar-SA"/>
              </w:rPr>
              <w:t xml:space="preserve">“DR. VICTORIO DE LA FUENTE NARVÁEZ” </w:t>
            </w:r>
          </w:p>
          <w:p w14:paraId="1C2FDCFA" w14:textId="77777777" w:rsidR="0087483A" w:rsidRPr="00F8188F" w:rsidRDefault="0087483A" w:rsidP="0087483A">
            <w:pPr>
              <w:jc w:val="center"/>
              <w:rPr>
                <w:rFonts w:ascii="Geomanist" w:hAnsi="Geomanist"/>
                <w:b/>
                <w:sz w:val="16"/>
                <w:szCs w:val="16"/>
                <w:lang w:eastAsia="ar-SA"/>
              </w:rPr>
            </w:pPr>
            <w:r w:rsidRPr="00F8188F">
              <w:rPr>
                <w:rFonts w:ascii="Geomanist" w:hAnsi="Geomanist"/>
                <w:b/>
                <w:sz w:val="16"/>
                <w:szCs w:val="16"/>
                <w:lang w:eastAsia="ar-SA"/>
              </w:rPr>
              <w:t>CIUDAD DE MÉXICO</w:t>
            </w:r>
          </w:p>
        </w:tc>
      </w:tr>
    </w:tbl>
    <w:p w14:paraId="09BB3137" w14:textId="77777777" w:rsidR="0087483A" w:rsidRPr="0087483A" w:rsidRDefault="0087483A" w:rsidP="0087483A">
      <w:pPr>
        <w:rPr>
          <w:rFonts w:ascii="Geomanist" w:hAnsi="Geomanist"/>
          <w:sz w:val="16"/>
          <w:szCs w:val="16"/>
          <w:lang w:eastAsia="ar-SA"/>
        </w:rPr>
      </w:pPr>
    </w:p>
    <w:bookmarkEnd w:id="0"/>
    <w:bookmarkEnd w:id="3"/>
    <w:p w14:paraId="6D5BC8F2" w14:textId="77777777" w:rsidR="0087483A" w:rsidRPr="0087483A" w:rsidRDefault="0087483A" w:rsidP="0087483A">
      <w:pPr>
        <w:rPr>
          <w:rFonts w:ascii="Geomanist" w:hAnsi="Geomanist"/>
          <w:sz w:val="16"/>
          <w:szCs w:val="16"/>
          <w:lang w:eastAsia="ar-SA"/>
        </w:rPr>
      </w:pPr>
    </w:p>
    <w:p w14:paraId="201F51F9" w14:textId="514D0853" w:rsidR="006C7543" w:rsidRPr="0087483A" w:rsidRDefault="006C7543" w:rsidP="004E0025">
      <w:pPr>
        <w:rPr>
          <w:rFonts w:ascii="Geomanist" w:hAnsi="Geomanist"/>
          <w:sz w:val="16"/>
          <w:szCs w:val="16"/>
        </w:rPr>
      </w:pPr>
    </w:p>
    <w:sectPr w:rsidR="006C7543" w:rsidRPr="0087483A" w:rsidSect="004E0025">
      <w:headerReference w:type="even" r:id="rId11"/>
      <w:headerReference w:type="default" r:id="rId12"/>
      <w:footerReference w:type="even" r:id="rId13"/>
      <w:footerReference w:type="default" r:id="rId14"/>
      <w:headerReference w:type="first" r:id="rId15"/>
      <w:footerReference w:type="first" r:id="rId16"/>
      <w:pgSz w:w="12240" w:h="15840"/>
      <w:pgMar w:top="2835" w:right="1701"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F8AC2" w14:textId="77777777" w:rsidR="0087483A" w:rsidRDefault="0087483A" w:rsidP="00A73D65">
      <w:r>
        <w:separator/>
      </w:r>
    </w:p>
  </w:endnote>
  <w:endnote w:type="continuationSeparator" w:id="0">
    <w:p w14:paraId="46BC1EC1" w14:textId="77777777" w:rsidR="0087483A" w:rsidRDefault="0087483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Geomanist Medium">
    <w:altName w:val="Arial"/>
    <w:panose1 w:val="00000000000000000000"/>
    <w:charset w:val="00"/>
    <w:family w:val="modern"/>
    <w:notTrueType/>
    <w:pitch w:val="variable"/>
    <w:sig w:usb0="00000001"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55CDF" w14:textId="77777777" w:rsidR="000668D3" w:rsidRDefault="000668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1D03" w14:textId="0DEC30FB" w:rsidR="0087483A" w:rsidRDefault="0087483A">
    <w:pPr>
      <w:pStyle w:val="Piedepgina"/>
    </w:pPr>
    <w:r>
      <w:rPr>
        <w:noProof/>
        <w:lang w:val="es-MX" w:eastAsia="es-MX"/>
      </w:rPr>
      <mc:AlternateContent>
        <mc:Choice Requires="wps">
          <w:drawing>
            <wp:anchor distT="0" distB="0" distL="114300" distR="114300" simplePos="0" relativeHeight="251660288" behindDoc="0" locked="0" layoutInCell="1" allowOverlap="1" wp14:anchorId="391FC72E" wp14:editId="0357FC08">
              <wp:simplePos x="0" y="0"/>
              <wp:positionH relativeFrom="column">
                <wp:posOffset>-637540</wp:posOffset>
              </wp:positionH>
              <wp:positionV relativeFrom="paragraph">
                <wp:posOffset>-38502</wp:posOffset>
              </wp:positionV>
              <wp:extent cx="5653430" cy="190195"/>
              <wp:effectExtent l="0" t="0" r="0" b="635"/>
              <wp:wrapNone/>
              <wp:docPr id="379978026"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0417E7DE" w14:textId="77777777" w:rsidR="0087483A" w:rsidRPr="001050B6" w:rsidRDefault="0087483A" w:rsidP="001050B6">
                          <w:pPr>
                            <w:rPr>
                              <w:rFonts w:ascii="Geomanist Medium" w:hAnsi="Geomanist Medium"/>
                              <w:color w:val="4D192A"/>
                              <w:sz w:val="13"/>
                              <w:szCs w:val="13"/>
                            </w:rPr>
                          </w:pPr>
                          <w:r w:rsidRPr="001050B6">
                            <w:rPr>
                              <w:rFonts w:ascii="Geomanist Medium" w:hAnsi="Geomanist Medium"/>
                              <w:color w:val="4D192A"/>
                              <w:sz w:val="13"/>
                              <w:szCs w:val="13"/>
                            </w:rPr>
                            <w:t xml:space="preserve">Av. Colector 15 s/n, Esq.  Av. Instituto Politécnico Nacional Col. Magdalena de las Salinas, Alcaldía Gustavo A. Madero CDMX C.P. 07760, </w:t>
                          </w:r>
                        </w:p>
                        <w:p w14:paraId="18D71277" w14:textId="77777777" w:rsidR="0087483A" w:rsidRPr="005C25F3" w:rsidRDefault="0087483A" w:rsidP="00B87C85">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margin-left:-50.2pt;margin-top:-3.05pt;width:4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" filled="f" stroked="f" strokeweight=".5pt">
              <v:textbox>
                <w:txbxContent>
                  <w:p w14:paraId="0417E7DE" w14:textId="77777777" w:rsidR="0087483A" w:rsidRPr="001050B6" w:rsidRDefault="0087483A" w:rsidP="001050B6">
                    <w:pPr>
                      <w:rPr>
                        <w:rFonts w:ascii="Geomanist Medium" w:hAnsi="Geomanist Medium"/>
                        <w:color w:val="4D192A"/>
                        <w:sz w:val="13"/>
                        <w:szCs w:val="13"/>
                      </w:rPr>
                    </w:pPr>
                    <w:bookmarkStart w:id="4" w:name="_GoBack"/>
                    <w:r w:rsidRPr="001050B6">
                      <w:rPr>
                        <w:rFonts w:ascii="Geomanist Medium" w:hAnsi="Geomanist Medium"/>
                        <w:color w:val="4D192A"/>
                        <w:sz w:val="13"/>
                        <w:szCs w:val="13"/>
                      </w:rPr>
                      <w:t xml:space="preserve">Av. Colector 15 s/n, Esq.  Av. Instituto Politécnico Nacional Col. Magdalena de las Salinas, Alcaldía Gustavo A. Madero CDMX C.P. 07760, </w:t>
                    </w:r>
                  </w:p>
                  <w:bookmarkEnd w:id="4"/>
                  <w:p w14:paraId="18D71277" w14:textId="77777777" w:rsidR="0087483A" w:rsidRPr="005C25F3" w:rsidRDefault="0087483A" w:rsidP="00B87C85">
                    <w:pPr>
                      <w:rPr>
                        <w:sz w:val="13"/>
                        <w:szCs w:val="1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E7A3" w14:textId="77777777" w:rsidR="000668D3" w:rsidRDefault="000668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4F49B" w14:textId="77777777" w:rsidR="0087483A" w:rsidRDefault="0087483A" w:rsidP="00A73D65">
      <w:r>
        <w:separator/>
      </w:r>
    </w:p>
  </w:footnote>
  <w:footnote w:type="continuationSeparator" w:id="0">
    <w:p w14:paraId="430D0035" w14:textId="77777777" w:rsidR="0087483A" w:rsidRDefault="0087483A"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509AB" w14:textId="77777777" w:rsidR="000668D3" w:rsidRDefault="000668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1E181" w14:textId="4CBD73DB" w:rsidR="0087483A" w:rsidRDefault="000668D3">
    <w:pPr>
      <w:pStyle w:val="Encabezado"/>
    </w:pPr>
    <w:r>
      <w:rPr>
        <w:noProof/>
        <w:lang w:val="es-MX" w:eastAsia="es-MX"/>
      </w:rPr>
      <w:drawing>
        <wp:anchor distT="0" distB="0" distL="114300" distR="114300" simplePos="0" relativeHeight="251661312" behindDoc="1" locked="0" layoutInCell="1" allowOverlap="1" wp14:anchorId="45888DF5" wp14:editId="30E62042">
          <wp:simplePos x="0" y="0"/>
          <wp:positionH relativeFrom="column">
            <wp:posOffset>-1045210</wp:posOffset>
          </wp:positionH>
          <wp:positionV relativeFrom="paragraph">
            <wp:posOffset>-431800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87483A" w:rsidRPr="00DA1B19">
      <w:rPr>
        <w:rFonts w:ascii="Geomanist" w:hAnsi="Geomanist"/>
        <w:noProof/>
        <w:sz w:val="21"/>
        <w:szCs w:val="21"/>
        <w:lang w:val="es-MX" w:eastAsia="es-MX"/>
      </w:rPr>
      <mc:AlternateContent>
        <mc:Choice Requires="wps">
          <w:drawing>
            <wp:anchor distT="0" distB="0" distL="114300" distR="114300" simplePos="0" relativeHeight="251663360" behindDoc="0" locked="0" layoutInCell="1" allowOverlap="1" wp14:anchorId="316179F0" wp14:editId="1B128788">
              <wp:simplePos x="0" y="0"/>
              <wp:positionH relativeFrom="column">
                <wp:posOffset>907415</wp:posOffset>
              </wp:positionH>
              <wp:positionV relativeFrom="paragraph">
                <wp:posOffset>625475</wp:posOffset>
              </wp:positionV>
              <wp:extent cx="2735580" cy="741045"/>
              <wp:effectExtent l="0" t="0" r="7620" b="1905"/>
              <wp:wrapSquare wrapText="bothSides"/>
              <wp:docPr id="2" name="Text Box 2"/>
              <wp:cNvGraphicFramePr/>
              <a:graphic xmlns:a="http://schemas.openxmlformats.org/drawingml/2006/main">
                <a:graphicData uri="http://schemas.microsoft.com/office/word/2010/wordprocessingShape">
                  <wps:wsp>
                    <wps:cNvSpPr txBox="1"/>
                    <wps:spPr>
                      <a:xfrm>
                        <a:off x="0" y="0"/>
                        <a:ext cx="2735580" cy="7410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B1962CE" w14:textId="77777777" w:rsidR="0087483A" w:rsidRPr="00BD4DAA" w:rsidRDefault="0087483A" w:rsidP="00BD4DAA">
                          <w:pPr>
                            <w:rPr>
                              <w:rFonts w:ascii="Geomanist" w:hAnsi="Geomanist"/>
                              <w:b/>
                              <w:bCs/>
                              <w:sz w:val="18"/>
                              <w:szCs w:val="18"/>
                            </w:rPr>
                          </w:pPr>
                          <w:r w:rsidRPr="00BD4DAA">
                            <w:rPr>
                              <w:rFonts w:ascii="Geomanist" w:hAnsi="Geomanist"/>
                              <w:b/>
                              <w:bCs/>
                              <w:sz w:val="18"/>
                              <w:szCs w:val="18"/>
                            </w:rPr>
                            <w:t>Dirección de Prestaciones Médicas</w:t>
                          </w:r>
                        </w:p>
                        <w:p w14:paraId="17F07BD0" w14:textId="77777777" w:rsidR="0087483A" w:rsidRPr="00BD4DAA" w:rsidRDefault="0087483A" w:rsidP="00BD4DAA">
                          <w:pPr>
                            <w:rPr>
                              <w:rFonts w:ascii="Geomanist" w:hAnsi="Geomanist"/>
                              <w:sz w:val="18"/>
                              <w:szCs w:val="18"/>
                            </w:rPr>
                          </w:pPr>
                          <w:r w:rsidRPr="00BD4DAA">
                            <w:rPr>
                              <w:rFonts w:ascii="Geomanist" w:hAnsi="Geomanist"/>
                              <w:sz w:val="18"/>
                              <w:szCs w:val="18"/>
                            </w:rPr>
                            <w:t>Unidad Médica de Alta Especialidad</w:t>
                          </w:r>
                        </w:p>
                        <w:p w14:paraId="7FCAA184" w14:textId="77777777" w:rsidR="0087483A" w:rsidRPr="00BD4DAA" w:rsidRDefault="0087483A" w:rsidP="00BD4DAA">
                          <w:pPr>
                            <w:rPr>
                              <w:rFonts w:ascii="Geomanist" w:hAnsi="Geomanist"/>
                              <w:sz w:val="18"/>
                              <w:szCs w:val="18"/>
                            </w:rPr>
                          </w:pPr>
                          <w:r w:rsidRPr="00BD4DAA">
                            <w:rPr>
                              <w:rFonts w:ascii="Geomanist" w:hAnsi="Geomanist"/>
                              <w:sz w:val="18"/>
                              <w:szCs w:val="18"/>
                            </w:rPr>
                            <w:t>“Dr. Victorio de la Fuente Narváez” CDMX</w:t>
                          </w:r>
                        </w:p>
                        <w:p w14:paraId="61B50072" w14:textId="6D8C9413" w:rsidR="0087483A" w:rsidRPr="00BD4DAA" w:rsidRDefault="0087483A" w:rsidP="00BD4DAA">
                          <w:pPr>
                            <w:rPr>
                              <w:rFonts w:ascii="Geomanist" w:hAnsi="Geomanist"/>
                              <w:sz w:val="18"/>
                              <w:szCs w:val="18"/>
                            </w:rPr>
                          </w:pPr>
                          <w:r>
                            <w:rPr>
                              <w:rFonts w:ascii="Geomanist" w:hAnsi="Geomanist"/>
                              <w:sz w:val="18"/>
                              <w:szCs w:val="18"/>
                            </w:rPr>
                            <w:t>D</w:t>
                          </w:r>
                          <w:r w:rsidRPr="00BD4DAA">
                            <w:rPr>
                              <w:rFonts w:ascii="Geomanist" w:hAnsi="Geomanist"/>
                              <w:sz w:val="18"/>
                              <w:szCs w:val="18"/>
                            </w:rPr>
                            <w:t>irección Administrativa</w:t>
                          </w:r>
                        </w:p>
                        <w:p w14:paraId="77DF0641" w14:textId="075F66E0" w:rsidR="0087483A" w:rsidRPr="00BD4DAA" w:rsidRDefault="0087483A" w:rsidP="00BD4DAA">
                          <w:pPr>
                            <w:rPr>
                              <w:rFonts w:ascii="Geomanist" w:hAnsi="Geomanist"/>
                              <w:sz w:val="18"/>
                              <w:szCs w:val="18"/>
                            </w:rPr>
                          </w:pPr>
                          <w:r w:rsidRPr="00BD4DAA">
                            <w:rPr>
                              <w:rFonts w:ascii="Geomanist" w:hAnsi="Geomanist"/>
                              <w:sz w:val="18"/>
                              <w:szCs w:val="18"/>
                            </w:rPr>
                            <w:t xml:space="preserve">Departamento de </w:t>
                          </w:r>
                          <w:r>
                            <w:rPr>
                              <w:rFonts w:ascii="Geomanist" w:hAnsi="Geomanist"/>
                              <w:sz w:val="18"/>
                              <w:szCs w:val="18"/>
                            </w:rPr>
                            <w:t>Abastecimientos</w:t>
                          </w:r>
                        </w:p>
                        <w:p w14:paraId="41FFDA95" w14:textId="77777777" w:rsidR="0087483A" w:rsidRPr="00330DC8" w:rsidRDefault="0087483A" w:rsidP="00BD4DAA">
                          <w:pPr>
                            <w:rPr>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45pt;margin-top:49.25pt;width:215.4pt;height:5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xtoAIAAJMFAAAOAAAAZHJzL2Uyb0RvYy54bWysVE1v2zAMvQ/YfxB0T+1kSZMadQo3RYYB&#10;RVusHXpWZKkxJouapMTOhv33UbKddt0uHXaRaeqRIh8/zi/aWpG9sK4CndPxSUqJ0BzKSj/l9MvD&#10;erSg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" filled="f" stroked="f">
              <v:textbox inset="0,0,0,0">
                <w:txbxContent>
                  <w:p w14:paraId="7B1962CE" w14:textId="77777777" w:rsidR="0087483A" w:rsidRPr="00BD4DAA" w:rsidRDefault="0087483A" w:rsidP="00BD4DAA">
                    <w:pPr>
                      <w:rPr>
                        <w:rFonts w:ascii="Geomanist" w:hAnsi="Geomanist"/>
                        <w:b/>
                        <w:bCs/>
                        <w:sz w:val="18"/>
                        <w:szCs w:val="18"/>
                      </w:rPr>
                    </w:pPr>
                    <w:r w:rsidRPr="00BD4DAA">
                      <w:rPr>
                        <w:rFonts w:ascii="Geomanist" w:hAnsi="Geomanist"/>
                        <w:b/>
                        <w:bCs/>
                        <w:sz w:val="18"/>
                        <w:szCs w:val="18"/>
                      </w:rPr>
                      <w:t>Dirección de Prestaciones Médicas</w:t>
                    </w:r>
                  </w:p>
                  <w:p w14:paraId="17F07BD0" w14:textId="77777777" w:rsidR="0087483A" w:rsidRPr="00BD4DAA" w:rsidRDefault="0087483A" w:rsidP="00BD4DAA">
                    <w:pPr>
                      <w:rPr>
                        <w:rFonts w:ascii="Geomanist" w:hAnsi="Geomanist"/>
                        <w:sz w:val="18"/>
                        <w:szCs w:val="18"/>
                      </w:rPr>
                    </w:pPr>
                    <w:r w:rsidRPr="00BD4DAA">
                      <w:rPr>
                        <w:rFonts w:ascii="Geomanist" w:hAnsi="Geomanist"/>
                        <w:sz w:val="18"/>
                        <w:szCs w:val="18"/>
                      </w:rPr>
                      <w:t>Unidad Médica de Alta Especialidad</w:t>
                    </w:r>
                  </w:p>
                  <w:p w14:paraId="7FCAA184" w14:textId="77777777" w:rsidR="0087483A" w:rsidRPr="00BD4DAA" w:rsidRDefault="0087483A" w:rsidP="00BD4DAA">
                    <w:pPr>
                      <w:rPr>
                        <w:rFonts w:ascii="Geomanist" w:hAnsi="Geomanist"/>
                        <w:sz w:val="18"/>
                        <w:szCs w:val="18"/>
                      </w:rPr>
                    </w:pPr>
                    <w:r w:rsidRPr="00BD4DAA">
                      <w:rPr>
                        <w:rFonts w:ascii="Geomanist" w:hAnsi="Geomanist"/>
                        <w:sz w:val="18"/>
                        <w:szCs w:val="18"/>
                      </w:rPr>
                      <w:t>“Dr. Victorio de la Fuente Narváez” CDMX</w:t>
                    </w:r>
                  </w:p>
                  <w:p w14:paraId="61B50072" w14:textId="6D8C9413" w:rsidR="0087483A" w:rsidRPr="00BD4DAA" w:rsidRDefault="0087483A" w:rsidP="00BD4DAA">
                    <w:pPr>
                      <w:rPr>
                        <w:rFonts w:ascii="Geomanist" w:hAnsi="Geomanist"/>
                        <w:sz w:val="18"/>
                        <w:szCs w:val="18"/>
                      </w:rPr>
                    </w:pPr>
                    <w:r>
                      <w:rPr>
                        <w:rFonts w:ascii="Geomanist" w:hAnsi="Geomanist"/>
                        <w:sz w:val="18"/>
                        <w:szCs w:val="18"/>
                      </w:rPr>
                      <w:t>D</w:t>
                    </w:r>
                    <w:r w:rsidRPr="00BD4DAA">
                      <w:rPr>
                        <w:rFonts w:ascii="Geomanist" w:hAnsi="Geomanist"/>
                        <w:sz w:val="18"/>
                        <w:szCs w:val="18"/>
                      </w:rPr>
                      <w:t>irección Administrativa</w:t>
                    </w:r>
                  </w:p>
                  <w:p w14:paraId="77DF0641" w14:textId="075F66E0" w:rsidR="0087483A" w:rsidRPr="00BD4DAA" w:rsidRDefault="0087483A" w:rsidP="00BD4DAA">
                    <w:pPr>
                      <w:rPr>
                        <w:rFonts w:ascii="Geomanist" w:hAnsi="Geomanist"/>
                        <w:sz w:val="18"/>
                        <w:szCs w:val="18"/>
                      </w:rPr>
                    </w:pPr>
                    <w:r w:rsidRPr="00BD4DAA">
                      <w:rPr>
                        <w:rFonts w:ascii="Geomanist" w:hAnsi="Geomanist"/>
                        <w:sz w:val="18"/>
                        <w:szCs w:val="18"/>
                      </w:rPr>
                      <w:t xml:space="preserve">Departamento de </w:t>
                    </w:r>
                    <w:r>
                      <w:rPr>
                        <w:rFonts w:ascii="Geomanist" w:hAnsi="Geomanist"/>
                        <w:sz w:val="18"/>
                        <w:szCs w:val="18"/>
                      </w:rPr>
                      <w:t>Abastecimientos</w:t>
                    </w:r>
                  </w:p>
                  <w:p w14:paraId="41FFDA95" w14:textId="77777777" w:rsidR="0087483A" w:rsidRPr="00330DC8" w:rsidRDefault="0087483A" w:rsidP="00BD4DAA">
                    <w:pPr>
                      <w:rPr>
                        <w:sz w:val="22"/>
                        <w:szCs w:val="22"/>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2A7F3" w14:textId="77777777" w:rsidR="000668D3" w:rsidRDefault="000668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27A6"/>
    <w:multiLevelType w:val="hybridMultilevel"/>
    <w:tmpl w:val="EAD6C8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035164F"/>
    <w:multiLevelType w:val="hybridMultilevel"/>
    <w:tmpl w:val="232A4C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ADA6A69"/>
    <w:multiLevelType w:val="hybridMultilevel"/>
    <w:tmpl w:val="C4CEA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0DC6D7B"/>
    <w:multiLevelType w:val="hybridMultilevel"/>
    <w:tmpl w:val="EAD6C8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B7E649B"/>
    <w:multiLevelType w:val="hybridMultilevel"/>
    <w:tmpl w:val="EAD6C8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546B4A9E"/>
    <w:multiLevelType w:val="hybridMultilevel"/>
    <w:tmpl w:val="CE4230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7315C9"/>
    <w:multiLevelType w:val="hybridMultilevel"/>
    <w:tmpl w:val="9C5015D2"/>
    <w:lvl w:ilvl="0" w:tplc="A2DE9902">
      <w:start w:val="1"/>
      <w:numFmt w:val="decimal"/>
      <w:lvlText w:val="%1."/>
      <w:lvlJc w:val="left"/>
      <w:pPr>
        <w:tabs>
          <w:tab w:val="num" w:pos="1620"/>
        </w:tabs>
        <w:ind w:left="1620" w:hanging="360"/>
      </w:pPr>
      <w:rPr>
        <w:rFonts w:hint="default"/>
        <w:b w:val="0"/>
        <w:i w:val="0"/>
      </w:rPr>
    </w:lvl>
    <w:lvl w:ilvl="1" w:tplc="0C0A0003">
      <w:start w:val="32"/>
      <w:numFmt w:val="decimal"/>
      <w:lvlText w:val="%2"/>
      <w:lvlJc w:val="left"/>
      <w:pPr>
        <w:tabs>
          <w:tab w:val="num" w:pos="1980"/>
        </w:tabs>
        <w:ind w:left="1980" w:hanging="360"/>
      </w:pPr>
      <w:rPr>
        <w:rFonts w:hint="default"/>
      </w:rPr>
    </w:lvl>
    <w:lvl w:ilvl="2" w:tplc="0C0A0005">
      <w:start w:val="1"/>
      <w:numFmt w:val="lowerRoman"/>
      <w:lvlText w:val="%3."/>
      <w:lvlJc w:val="right"/>
      <w:pPr>
        <w:tabs>
          <w:tab w:val="num" w:pos="2700"/>
        </w:tabs>
        <w:ind w:left="2700" w:hanging="180"/>
      </w:pPr>
    </w:lvl>
    <w:lvl w:ilvl="3" w:tplc="0C0A0001" w:tentative="1">
      <w:start w:val="1"/>
      <w:numFmt w:val="decimal"/>
      <w:lvlText w:val="%4."/>
      <w:lvlJc w:val="left"/>
      <w:pPr>
        <w:tabs>
          <w:tab w:val="num" w:pos="3420"/>
        </w:tabs>
        <w:ind w:left="3420" w:hanging="360"/>
      </w:pPr>
    </w:lvl>
    <w:lvl w:ilvl="4" w:tplc="0C0A0003" w:tentative="1">
      <w:start w:val="1"/>
      <w:numFmt w:val="lowerLetter"/>
      <w:lvlText w:val="%5."/>
      <w:lvlJc w:val="left"/>
      <w:pPr>
        <w:tabs>
          <w:tab w:val="num" w:pos="4140"/>
        </w:tabs>
        <w:ind w:left="4140" w:hanging="360"/>
      </w:pPr>
    </w:lvl>
    <w:lvl w:ilvl="5" w:tplc="0C0A0005" w:tentative="1">
      <w:start w:val="1"/>
      <w:numFmt w:val="lowerRoman"/>
      <w:lvlText w:val="%6."/>
      <w:lvlJc w:val="right"/>
      <w:pPr>
        <w:tabs>
          <w:tab w:val="num" w:pos="4860"/>
        </w:tabs>
        <w:ind w:left="4860" w:hanging="180"/>
      </w:pPr>
    </w:lvl>
    <w:lvl w:ilvl="6" w:tplc="0C0A0001" w:tentative="1">
      <w:start w:val="1"/>
      <w:numFmt w:val="decimal"/>
      <w:lvlText w:val="%7."/>
      <w:lvlJc w:val="left"/>
      <w:pPr>
        <w:tabs>
          <w:tab w:val="num" w:pos="5580"/>
        </w:tabs>
        <w:ind w:left="5580" w:hanging="360"/>
      </w:pPr>
    </w:lvl>
    <w:lvl w:ilvl="7" w:tplc="0C0A0003" w:tentative="1">
      <w:start w:val="1"/>
      <w:numFmt w:val="lowerLetter"/>
      <w:lvlText w:val="%8."/>
      <w:lvlJc w:val="left"/>
      <w:pPr>
        <w:tabs>
          <w:tab w:val="num" w:pos="6300"/>
        </w:tabs>
        <w:ind w:left="6300" w:hanging="360"/>
      </w:pPr>
    </w:lvl>
    <w:lvl w:ilvl="8" w:tplc="0C0A0005" w:tentative="1">
      <w:start w:val="1"/>
      <w:numFmt w:val="lowerRoman"/>
      <w:lvlText w:val="%9."/>
      <w:lvlJc w:val="right"/>
      <w:pPr>
        <w:tabs>
          <w:tab w:val="num" w:pos="7020"/>
        </w:tabs>
        <w:ind w:left="7020" w:hanging="180"/>
      </w:pPr>
    </w:lvl>
  </w:abstractNum>
  <w:abstractNum w:abstractNumId="7">
    <w:nsid w:val="5FB56B56"/>
    <w:multiLevelType w:val="hybridMultilevel"/>
    <w:tmpl w:val="490A7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E8015C"/>
    <w:multiLevelType w:val="hybridMultilevel"/>
    <w:tmpl w:val="E3E0B9D0"/>
    <w:lvl w:ilvl="0" w:tplc="A920A0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6C4461"/>
    <w:multiLevelType w:val="hybridMultilevel"/>
    <w:tmpl w:val="043603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3"/>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415E3"/>
    <w:rsid w:val="000668D3"/>
    <w:rsid w:val="000676B5"/>
    <w:rsid w:val="000A7717"/>
    <w:rsid w:val="000B1392"/>
    <w:rsid w:val="000C5A76"/>
    <w:rsid w:val="000C68A5"/>
    <w:rsid w:val="000D799D"/>
    <w:rsid w:val="000F11E8"/>
    <w:rsid w:val="000F22E2"/>
    <w:rsid w:val="001050B6"/>
    <w:rsid w:val="001354EF"/>
    <w:rsid w:val="00156A3E"/>
    <w:rsid w:val="00161740"/>
    <w:rsid w:val="0016179D"/>
    <w:rsid w:val="0017400E"/>
    <w:rsid w:val="00180A38"/>
    <w:rsid w:val="00184325"/>
    <w:rsid w:val="001C3641"/>
    <w:rsid w:val="001F0747"/>
    <w:rsid w:val="00211AA4"/>
    <w:rsid w:val="00222202"/>
    <w:rsid w:val="00233DB7"/>
    <w:rsid w:val="00247868"/>
    <w:rsid w:val="00256B1D"/>
    <w:rsid w:val="00285CC5"/>
    <w:rsid w:val="00287CBF"/>
    <w:rsid w:val="0029542D"/>
    <w:rsid w:val="002A6A1E"/>
    <w:rsid w:val="002E2142"/>
    <w:rsid w:val="002F11B7"/>
    <w:rsid w:val="002F328E"/>
    <w:rsid w:val="003009A2"/>
    <w:rsid w:val="0030476A"/>
    <w:rsid w:val="00321890"/>
    <w:rsid w:val="00330DC8"/>
    <w:rsid w:val="00350AAB"/>
    <w:rsid w:val="003538CD"/>
    <w:rsid w:val="00353950"/>
    <w:rsid w:val="00363222"/>
    <w:rsid w:val="00370465"/>
    <w:rsid w:val="00380136"/>
    <w:rsid w:val="003D416E"/>
    <w:rsid w:val="003E1335"/>
    <w:rsid w:val="003F35B5"/>
    <w:rsid w:val="00403033"/>
    <w:rsid w:val="0043366F"/>
    <w:rsid w:val="0045165D"/>
    <w:rsid w:val="00451809"/>
    <w:rsid w:val="0045771C"/>
    <w:rsid w:val="00477F45"/>
    <w:rsid w:val="004A4C4E"/>
    <w:rsid w:val="004D146C"/>
    <w:rsid w:val="004E0025"/>
    <w:rsid w:val="004F7371"/>
    <w:rsid w:val="00512F3F"/>
    <w:rsid w:val="00526ADA"/>
    <w:rsid w:val="0055784E"/>
    <w:rsid w:val="00564A0E"/>
    <w:rsid w:val="00576040"/>
    <w:rsid w:val="005C1A7C"/>
    <w:rsid w:val="005F17F0"/>
    <w:rsid w:val="006112DA"/>
    <w:rsid w:val="00626EE3"/>
    <w:rsid w:val="00631824"/>
    <w:rsid w:val="006322C1"/>
    <w:rsid w:val="00637B47"/>
    <w:rsid w:val="00643118"/>
    <w:rsid w:val="006629B3"/>
    <w:rsid w:val="006736B4"/>
    <w:rsid w:val="006A0A29"/>
    <w:rsid w:val="006A227B"/>
    <w:rsid w:val="006C0425"/>
    <w:rsid w:val="006C3B4E"/>
    <w:rsid w:val="006C7543"/>
    <w:rsid w:val="006F0FA5"/>
    <w:rsid w:val="00701947"/>
    <w:rsid w:val="007421E3"/>
    <w:rsid w:val="007437F5"/>
    <w:rsid w:val="0078195E"/>
    <w:rsid w:val="007912E5"/>
    <w:rsid w:val="007A6F21"/>
    <w:rsid w:val="007B16F1"/>
    <w:rsid w:val="007B74AD"/>
    <w:rsid w:val="007D77D1"/>
    <w:rsid w:val="007E5888"/>
    <w:rsid w:val="00817C85"/>
    <w:rsid w:val="008238BE"/>
    <w:rsid w:val="00830FC6"/>
    <w:rsid w:val="00831EE7"/>
    <w:rsid w:val="00834146"/>
    <w:rsid w:val="0087483A"/>
    <w:rsid w:val="0090412A"/>
    <w:rsid w:val="009066A7"/>
    <w:rsid w:val="009068C0"/>
    <w:rsid w:val="00906F6B"/>
    <w:rsid w:val="00907F1C"/>
    <w:rsid w:val="00910C46"/>
    <w:rsid w:val="00932C27"/>
    <w:rsid w:val="00937C98"/>
    <w:rsid w:val="00942415"/>
    <w:rsid w:val="0096327F"/>
    <w:rsid w:val="009C12D6"/>
    <w:rsid w:val="009D6BA0"/>
    <w:rsid w:val="009F2BA1"/>
    <w:rsid w:val="00A07674"/>
    <w:rsid w:val="00A21D3D"/>
    <w:rsid w:val="00A26E1D"/>
    <w:rsid w:val="00A301D7"/>
    <w:rsid w:val="00A355B0"/>
    <w:rsid w:val="00A53CAE"/>
    <w:rsid w:val="00A55D7B"/>
    <w:rsid w:val="00A63186"/>
    <w:rsid w:val="00A73D65"/>
    <w:rsid w:val="00A82636"/>
    <w:rsid w:val="00A838A3"/>
    <w:rsid w:val="00A96ECC"/>
    <w:rsid w:val="00AA6048"/>
    <w:rsid w:val="00AB6DE9"/>
    <w:rsid w:val="00AC7C58"/>
    <w:rsid w:val="00AE3163"/>
    <w:rsid w:val="00AE3903"/>
    <w:rsid w:val="00B4759F"/>
    <w:rsid w:val="00B50655"/>
    <w:rsid w:val="00B72D65"/>
    <w:rsid w:val="00B81C6E"/>
    <w:rsid w:val="00B87C85"/>
    <w:rsid w:val="00B94990"/>
    <w:rsid w:val="00BB21A6"/>
    <w:rsid w:val="00BB2DFF"/>
    <w:rsid w:val="00BB526C"/>
    <w:rsid w:val="00BB75F8"/>
    <w:rsid w:val="00BC43BD"/>
    <w:rsid w:val="00BD1637"/>
    <w:rsid w:val="00BD4DAA"/>
    <w:rsid w:val="00BD73B2"/>
    <w:rsid w:val="00BE01D8"/>
    <w:rsid w:val="00C02E98"/>
    <w:rsid w:val="00C05835"/>
    <w:rsid w:val="00C12E0D"/>
    <w:rsid w:val="00C23B9E"/>
    <w:rsid w:val="00C279A3"/>
    <w:rsid w:val="00C30849"/>
    <w:rsid w:val="00C32E65"/>
    <w:rsid w:val="00C41EBC"/>
    <w:rsid w:val="00C465FE"/>
    <w:rsid w:val="00C67047"/>
    <w:rsid w:val="00C7366B"/>
    <w:rsid w:val="00C90CED"/>
    <w:rsid w:val="00CA1A5D"/>
    <w:rsid w:val="00CA6F3B"/>
    <w:rsid w:val="00CB3EE9"/>
    <w:rsid w:val="00CB4403"/>
    <w:rsid w:val="00CB74C9"/>
    <w:rsid w:val="00CB7D4F"/>
    <w:rsid w:val="00CE3E99"/>
    <w:rsid w:val="00D1354D"/>
    <w:rsid w:val="00D24D2A"/>
    <w:rsid w:val="00D27ACC"/>
    <w:rsid w:val="00D62FAF"/>
    <w:rsid w:val="00D70FB0"/>
    <w:rsid w:val="00D72092"/>
    <w:rsid w:val="00D80CB9"/>
    <w:rsid w:val="00D84E05"/>
    <w:rsid w:val="00D86FBE"/>
    <w:rsid w:val="00D92C46"/>
    <w:rsid w:val="00D9429B"/>
    <w:rsid w:val="00D96B25"/>
    <w:rsid w:val="00DA1B19"/>
    <w:rsid w:val="00DB53A4"/>
    <w:rsid w:val="00DF6B03"/>
    <w:rsid w:val="00E00D1A"/>
    <w:rsid w:val="00E11A36"/>
    <w:rsid w:val="00E155A4"/>
    <w:rsid w:val="00E475DB"/>
    <w:rsid w:val="00E66174"/>
    <w:rsid w:val="00E93867"/>
    <w:rsid w:val="00EB407F"/>
    <w:rsid w:val="00ED4936"/>
    <w:rsid w:val="00ED5355"/>
    <w:rsid w:val="00ED5471"/>
    <w:rsid w:val="00EE053F"/>
    <w:rsid w:val="00F04F6F"/>
    <w:rsid w:val="00F12A2C"/>
    <w:rsid w:val="00F14410"/>
    <w:rsid w:val="00F24915"/>
    <w:rsid w:val="00F25C74"/>
    <w:rsid w:val="00F33DA3"/>
    <w:rsid w:val="00F401F9"/>
    <w:rsid w:val="00F542BB"/>
    <w:rsid w:val="00F745B2"/>
    <w:rsid w:val="00F8188F"/>
    <w:rsid w:val="00F945F2"/>
    <w:rsid w:val="00FA1218"/>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8B1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val="es-ES"/>
    </w:rPr>
  </w:style>
  <w:style w:type="paragraph" w:styleId="Ttulo2">
    <w:name w:val="heading 2"/>
    <w:basedOn w:val="Normal"/>
    <w:next w:val="Normal"/>
    <w:link w:val="Ttulo2Car"/>
    <w:uiPriority w:val="9"/>
    <w:unhideWhenUsed/>
    <w:qFormat/>
    <w:rsid w:val="003538CD"/>
    <w:pPr>
      <w:keepNext/>
      <w:keepLines/>
      <w:spacing w:before="200" w:line="276" w:lineRule="auto"/>
      <w:outlineLvl w:val="1"/>
    </w:pPr>
    <w:rPr>
      <w:rFonts w:asciiTheme="majorHAnsi" w:eastAsiaTheme="majorEastAsia" w:hAnsiTheme="majorHAnsi" w:cstheme="majorBidi"/>
      <w:b/>
      <w:bCs/>
      <w:color w:val="4472C4" w:themeColor="accent1"/>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table" w:styleId="Tablaconcuadrcula">
    <w:name w:val="Table Grid"/>
    <w:basedOn w:val="Tablanormal"/>
    <w:uiPriority w:val="59"/>
    <w:rsid w:val="001050B6"/>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demensaje">
    <w:name w:val="Message Header"/>
    <w:basedOn w:val="Textoindependiente"/>
    <w:link w:val="EncabezadodemensajeCar"/>
    <w:rsid w:val="00BD1637"/>
    <w:pPr>
      <w:keepLines/>
      <w:spacing w:line="240" w:lineRule="atLeast"/>
      <w:ind w:left="1080" w:hanging="1080"/>
    </w:pPr>
    <w:rPr>
      <w:rFonts w:ascii="Times New Roman" w:eastAsia="Times New Roman" w:hAnsi="Times New Roman" w:cs="Times New Roman"/>
      <w:caps/>
      <w:sz w:val="18"/>
      <w:lang w:eastAsia="es-ES"/>
    </w:rPr>
  </w:style>
  <w:style w:type="character" w:customStyle="1" w:styleId="EncabezadodemensajeCar">
    <w:name w:val="Encabezado de mensaje Car"/>
    <w:basedOn w:val="Fuentedeprrafopredeter"/>
    <w:link w:val="Encabezadodemensaje"/>
    <w:rsid w:val="00BD1637"/>
    <w:rPr>
      <w:rFonts w:ascii="Times New Roman" w:eastAsia="Times New Roman" w:hAnsi="Times New Roman" w:cs="Times New Roman"/>
      <w:caps/>
      <w:sz w:val="18"/>
      <w:lang w:val="es-ES" w:eastAsia="es-ES"/>
    </w:rPr>
  </w:style>
  <w:style w:type="character" w:customStyle="1" w:styleId="Rtulodeencabezadodemensaje">
    <w:name w:val="Rótulo de encabezado de mensaje"/>
    <w:rsid w:val="00BD1637"/>
    <w:rPr>
      <w:b/>
      <w:sz w:val="18"/>
    </w:rPr>
  </w:style>
  <w:style w:type="paragraph" w:styleId="Textoindependiente">
    <w:name w:val="Body Text"/>
    <w:basedOn w:val="Normal"/>
    <w:link w:val="TextoindependienteCar"/>
    <w:uiPriority w:val="99"/>
    <w:semiHidden/>
    <w:unhideWhenUsed/>
    <w:rsid w:val="00BD1637"/>
    <w:pPr>
      <w:spacing w:after="120"/>
    </w:pPr>
  </w:style>
  <w:style w:type="character" w:customStyle="1" w:styleId="TextoindependienteCar">
    <w:name w:val="Texto independiente Car"/>
    <w:basedOn w:val="Fuentedeprrafopredeter"/>
    <w:link w:val="Textoindependiente"/>
    <w:uiPriority w:val="99"/>
    <w:semiHidden/>
    <w:rsid w:val="00BD1637"/>
    <w:rPr>
      <w:rFonts w:eastAsiaTheme="minorEastAsia"/>
      <w:lang w:val="es-ES"/>
    </w:rPr>
  </w:style>
  <w:style w:type="paragraph" w:styleId="Prrafodelista">
    <w:name w:val="List Paragraph"/>
    <w:aliases w:val="lp1,List Paragraph1,List Paragraph11,Bullet List,FooterText,numbered,Paragraphe de liste1,Bulletr List Paragraph,列出段落,列出段落1,Párrafo de lista1,Scitum normal,Listas,Colorful List - Accent 11,Bullet 1,List Paragraph Char Char,b1,lp11"/>
    <w:basedOn w:val="Normal"/>
    <w:link w:val="PrrafodelistaCar"/>
    <w:uiPriority w:val="34"/>
    <w:qFormat/>
    <w:rsid w:val="00A82636"/>
    <w:pPr>
      <w:spacing w:after="160" w:line="259" w:lineRule="auto"/>
      <w:ind w:left="720"/>
      <w:contextualSpacing/>
    </w:pPr>
    <w:rPr>
      <w:rFonts w:ascii="Times New Roman" w:eastAsiaTheme="minorHAnsi" w:hAnsi="Times New Roman" w:cs="Times New Roman"/>
      <w:sz w:val="22"/>
      <w:szCs w:val="22"/>
      <w:lang w:val="es-MX" w:eastAsia="es-MX"/>
    </w:rPr>
  </w:style>
  <w:style w:type="character" w:customStyle="1" w:styleId="Ttulo2Car">
    <w:name w:val="Título 2 Car"/>
    <w:basedOn w:val="Fuentedeprrafopredeter"/>
    <w:link w:val="Ttulo2"/>
    <w:uiPriority w:val="9"/>
    <w:rsid w:val="003538CD"/>
    <w:rPr>
      <w:rFonts w:asciiTheme="majorHAnsi" w:eastAsiaTheme="majorEastAsia" w:hAnsiTheme="majorHAnsi" w:cstheme="majorBidi"/>
      <w:b/>
      <w:bCs/>
      <w:color w:val="4472C4" w:themeColor="accent1"/>
      <w:sz w:val="26"/>
      <w:szCs w:val="26"/>
    </w:rPr>
  </w:style>
  <w:style w:type="paragraph" w:styleId="Lista">
    <w:name w:val="List"/>
    <w:basedOn w:val="Normal"/>
    <w:uiPriority w:val="99"/>
    <w:unhideWhenUsed/>
    <w:rsid w:val="003538CD"/>
    <w:pPr>
      <w:spacing w:after="200" w:line="276" w:lineRule="auto"/>
      <w:ind w:left="283" w:hanging="283"/>
      <w:contextualSpacing/>
    </w:pPr>
    <w:rPr>
      <w:rFonts w:ascii="Calibri" w:eastAsia="Calibri" w:hAnsi="Calibri" w:cs="Times New Roman"/>
      <w:sz w:val="22"/>
      <w:szCs w:val="22"/>
      <w:lang w:val="es-MX"/>
    </w:rPr>
  </w:style>
  <w:style w:type="character" w:styleId="Hipervnculo">
    <w:name w:val="Hyperlink"/>
    <w:basedOn w:val="Fuentedeprrafopredeter"/>
    <w:uiPriority w:val="99"/>
    <w:unhideWhenUsed/>
    <w:rsid w:val="004E0025"/>
    <w:rPr>
      <w:color w:val="0563C1" w:themeColor="hyperlink"/>
      <w:u w:val="singl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Párrafo de lista1 Car,Scitum normal Car,Listas Car,Bullet 1 Car"/>
    <w:link w:val="Prrafodelista"/>
    <w:uiPriority w:val="99"/>
    <w:qFormat/>
    <w:rsid w:val="004E0025"/>
    <w:rPr>
      <w:rFonts w:ascii="Times New Roman" w:hAnsi="Times New Roman" w:cs="Times New Roman"/>
      <w:sz w:val="22"/>
      <w:szCs w:val="22"/>
      <w:lang w:eastAsia="es-MX"/>
    </w:rPr>
  </w:style>
  <w:style w:type="paragraph" w:customStyle="1" w:styleId="ROMANOS">
    <w:name w:val="ROMANOS"/>
    <w:basedOn w:val="Normal"/>
    <w:uiPriority w:val="99"/>
    <w:rsid w:val="004E0025"/>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
    <w:name w:val="texto"/>
    <w:basedOn w:val="Normal"/>
    <w:uiPriority w:val="99"/>
    <w:rsid w:val="004E0025"/>
    <w:pPr>
      <w:suppressAutoHyphens/>
      <w:spacing w:after="101" w:line="216" w:lineRule="atLeast"/>
      <w:ind w:firstLine="288"/>
      <w:jc w:val="both"/>
    </w:pPr>
    <w:rPr>
      <w:rFonts w:ascii="Arial" w:eastAsia="Times New Roman" w:hAnsi="Arial" w:cs="Times New Roman"/>
      <w:sz w:val="18"/>
      <w:szCs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val="es-ES"/>
    </w:rPr>
  </w:style>
  <w:style w:type="paragraph" w:styleId="Ttulo2">
    <w:name w:val="heading 2"/>
    <w:basedOn w:val="Normal"/>
    <w:next w:val="Normal"/>
    <w:link w:val="Ttulo2Car"/>
    <w:uiPriority w:val="9"/>
    <w:unhideWhenUsed/>
    <w:qFormat/>
    <w:rsid w:val="003538CD"/>
    <w:pPr>
      <w:keepNext/>
      <w:keepLines/>
      <w:spacing w:before="200" w:line="276" w:lineRule="auto"/>
      <w:outlineLvl w:val="1"/>
    </w:pPr>
    <w:rPr>
      <w:rFonts w:asciiTheme="majorHAnsi" w:eastAsiaTheme="majorEastAsia" w:hAnsiTheme="majorHAnsi" w:cstheme="majorBidi"/>
      <w:b/>
      <w:bCs/>
      <w:color w:val="4472C4" w:themeColor="accent1"/>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table" w:styleId="Tablaconcuadrcula">
    <w:name w:val="Table Grid"/>
    <w:basedOn w:val="Tablanormal"/>
    <w:uiPriority w:val="59"/>
    <w:rsid w:val="001050B6"/>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demensaje">
    <w:name w:val="Message Header"/>
    <w:basedOn w:val="Textoindependiente"/>
    <w:link w:val="EncabezadodemensajeCar"/>
    <w:rsid w:val="00BD1637"/>
    <w:pPr>
      <w:keepLines/>
      <w:spacing w:line="240" w:lineRule="atLeast"/>
      <w:ind w:left="1080" w:hanging="1080"/>
    </w:pPr>
    <w:rPr>
      <w:rFonts w:ascii="Times New Roman" w:eastAsia="Times New Roman" w:hAnsi="Times New Roman" w:cs="Times New Roman"/>
      <w:caps/>
      <w:sz w:val="18"/>
      <w:lang w:eastAsia="es-ES"/>
    </w:rPr>
  </w:style>
  <w:style w:type="character" w:customStyle="1" w:styleId="EncabezadodemensajeCar">
    <w:name w:val="Encabezado de mensaje Car"/>
    <w:basedOn w:val="Fuentedeprrafopredeter"/>
    <w:link w:val="Encabezadodemensaje"/>
    <w:rsid w:val="00BD1637"/>
    <w:rPr>
      <w:rFonts w:ascii="Times New Roman" w:eastAsia="Times New Roman" w:hAnsi="Times New Roman" w:cs="Times New Roman"/>
      <w:caps/>
      <w:sz w:val="18"/>
      <w:lang w:val="es-ES" w:eastAsia="es-ES"/>
    </w:rPr>
  </w:style>
  <w:style w:type="character" w:customStyle="1" w:styleId="Rtulodeencabezadodemensaje">
    <w:name w:val="Rótulo de encabezado de mensaje"/>
    <w:rsid w:val="00BD1637"/>
    <w:rPr>
      <w:b/>
      <w:sz w:val="18"/>
    </w:rPr>
  </w:style>
  <w:style w:type="paragraph" w:styleId="Textoindependiente">
    <w:name w:val="Body Text"/>
    <w:basedOn w:val="Normal"/>
    <w:link w:val="TextoindependienteCar"/>
    <w:uiPriority w:val="99"/>
    <w:semiHidden/>
    <w:unhideWhenUsed/>
    <w:rsid w:val="00BD1637"/>
    <w:pPr>
      <w:spacing w:after="120"/>
    </w:pPr>
  </w:style>
  <w:style w:type="character" w:customStyle="1" w:styleId="TextoindependienteCar">
    <w:name w:val="Texto independiente Car"/>
    <w:basedOn w:val="Fuentedeprrafopredeter"/>
    <w:link w:val="Textoindependiente"/>
    <w:uiPriority w:val="99"/>
    <w:semiHidden/>
    <w:rsid w:val="00BD1637"/>
    <w:rPr>
      <w:rFonts w:eastAsiaTheme="minorEastAsia"/>
      <w:lang w:val="es-ES"/>
    </w:rPr>
  </w:style>
  <w:style w:type="paragraph" w:styleId="Prrafodelista">
    <w:name w:val="List Paragraph"/>
    <w:aliases w:val="lp1,List Paragraph1,List Paragraph11,Bullet List,FooterText,numbered,Paragraphe de liste1,Bulletr List Paragraph,列出段落,列出段落1,Párrafo de lista1,Scitum normal,Listas,Colorful List - Accent 11,Bullet 1,List Paragraph Char Char,b1,lp11"/>
    <w:basedOn w:val="Normal"/>
    <w:link w:val="PrrafodelistaCar"/>
    <w:uiPriority w:val="34"/>
    <w:qFormat/>
    <w:rsid w:val="00A82636"/>
    <w:pPr>
      <w:spacing w:after="160" w:line="259" w:lineRule="auto"/>
      <w:ind w:left="720"/>
      <w:contextualSpacing/>
    </w:pPr>
    <w:rPr>
      <w:rFonts w:ascii="Times New Roman" w:eastAsiaTheme="minorHAnsi" w:hAnsi="Times New Roman" w:cs="Times New Roman"/>
      <w:sz w:val="22"/>
      <w:szCs w:val="22"/>
      <w:lang w:val="es-MX" w:eastAsia="es-MX"/>
    </w:rPr>
  </w:style>
  <w:style w:type="character" w:customStyle="1" w:styleId="Ttulo2Car">
    <w:name w:val="Título 2 Car"/>
    <w:basedOn w:val="Fuentedeprrafopredeter"/>
    <w:link w:val="Ttulo2"/>
    <w:uiPriority w:val="9"/>
    <w:rsid w:val="003538CD"/>
    <w:rPr>
      <w:rFonts w:asciiTheme="majorHAnsi" w:eastAsiaTheme="majorEastAsia" w:hAnsiTheme="majorHAnsi" w:cstheme="majorBidi"/>
      <w:b/>
      <w:bCs/>
      <w:color w:val="4472C4" w:themeColor="accent1"/>
      <w:sz w:val="26"/>
      <w:szCs w:val="26"/>
    </w:rPr>
  </w:style>
  <w:style w:type="paragraph" w:styleId="Lista">
    <w:name w:val="List"/>
    <w:basedOn w:val="Normal"/>
    <w:uiPriority w:val="99"/>
    <w:unhideWhenUsed/>
    <w:rsid w:val="003538CD"/>
    <w:pPr>
      <w:spacing w:after="200" w:line="276" w:lineRule="auto"/>
      <w:ind w:left="283" w:hanging="283"/>
      <w:contextualSpacing/>
    </w:pPr>
    <w:rPr>
      <w:rFonts w:ascii="Calibri" w:eastAsia="Calibri" w:hAnsi="Calibri" w:cs="Times New Roman"/>
      <w:sz w:val="22"/>
      <w:szCs w:val="22"/>
      <w:lang w:val="es-MX"/>
    </w:rPr>
  </w:style>
  <w:style w:type="character" w:styleId="Hipervnculo">
    <w:name w:val="Hyperlink"/>
    <w:basedOn w:val="Fuentedeprrafopredeter"/>
    <w:uiPriority w:val="99"/>
    <w:unhideWhenUsed/>
    <w:rsid w:val="004E0025"/>
    <w:rPr>
      <w:color w:val="0563C1" w:themeColor="hyperlink"/>
      <w:u w:val="singl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Párrafo de lista1 Car,Scitum normal Car,Listas Car,Bullet 1 Car"/>
    <w:link w:val="Prrafodelista"/>
    <w:uiPriority w:val="99"/>
    <w:qFormat/>
    <w:rsid w:val="004E0025"/>
    <w:rPr>
      <w:rFonts w:ascii="Times New Roman" w:hAnsi="Times New Roman" w:cs="Times New Roman"/>
      <w:sz w:val="22"/>
      <w:szCs w:val="22"/>
      <w:lang w:eastAsia="es-MX"/>
    </w:rPr>
  </w:style>
  <w:style w:type="paragraph" w:customStyle="1" w:styleId="ROMANOS">
    <w:name w:val="ROMANOS"/>
    <w:basedOn w:val="Normal"/>
    <w:uiPriority w:val="99"/>
    <w:rsid w:val="004E0025"/>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
    <w:name w:val="texto"/>
    <w:basedOn w:val="Normal"/>
    <w:uiPriority w:val="99"/>
    <w:rsid w:val="004E0025"/>
    <w:pPr>
      <w:suppressAutoHyphens/>
      <w:spacing w:after="101" w:line="216" w:lineRule="atLeast"/>
      <w:ind w:firstLine="288"/>
      <w:jc w:val="both"/>
    </w:pPr>
    <w:rPr>
      <w:rFonts w:ascii="Arial" w:eastAsia="Times New Roman" w:hAnsi="Arial" w:cs="Times New Roman"/>
      <w:sz w:val="18"/>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657">
      <w:bodyDiv w:val="1"/>
      <w:marLeft w:val="0"/>
      <w:marRight w:val="0"/>
      <w:marTop w:val="0"/>
      <w:marBottom w:val="0"/>
      <w:divBdr>
        <w:top w:val="none" w:sz="0" w:space="0" w:color="auto"/>
        <w:left w:val="none" w:sz="0" w:space="0" w:color="auto"/>
        <w:bottom w:val="none" w:sz="0" w:space="0" w:color="auto"/>
        <w:right w:val="none" w:sz="0" w:space="0" w:color="auto"/>
      </w:divBdr>
    </w:div>
    <w:div w:id="911357647">
      <w:bodyDiv w:val="1"/>
      <w:marLeft w:val="0"/>
      <w:marRight w:val="0"/>
      <w:marTop w:val="0"/>
      <w:marBottom w:val="0"/>
      <w:divBdr>
        <w:top w:val="none" w:sz="0" w:space="0" w:color="auto"/>
        <w:left w:val="none" w:sz="0" w:space="0" w:color="auto"/>
        <w:bottom w:val="none" w:sz="0" w:space="0" w:color="auto"/>
        <w:right w:val="none" w:sz="0" w:space="0" w:color="auto"/>
      </w:divBdr>
    </w:div>
    <w:div w:id="1177037790">
      <w:bodyDiv w:val="1"/>
      <w:marLeft w:val="0"/>
      <w:marRight w:val="0"/>
      <w:marTop w:val="0"/>
      <w:marBottom w:val="0"/>
      <w:divBdr>
        <w:top w:val="none" w:sz="0" w:space="0" w:color="auto"/>
        <w:left w:val="none" w:sz="0" w:space="0" w:color="auto"/>
        <w:bottom w:val="none" w:sz="0" w:space="0" w:color="auto"/>
        <w:right w:val="none" w:sz="0" w:space="0" w:color="auto"/>
      </w:divBdr>
    </w:div>
    <w:div w:id="1221137547">
      <w:bodyDiv w:val="1"/>
      <w:marLeft w:val="0"/>
      <w:marRight w:val="0"/>
      <w:marTop w:val="0"/>
      <w:marBottom w:val="0"/>
      <w:divBdr>
        <w:top w:val="none" w:sz="0" w:space="0" w:color="auto"/>
        <w:left w:val="none" w:sz="0" w:space="0" w:color="auto"/>
        <w:bottom w:val="none" w:sz="0" w:space="0" w:color="auto"/>
        <w:right w:val="none" w:sz="0" w:space="0" w:color="auto"/>
      </w:divBdr>
    </w:div>
    <w:div w:id="1231034611">
      <w:bodyDiv w:val="1"/>
      <w:marLeft w:val="0"/>
      <w:marRight w:val="0"/>
      <w:marTop w:val="0"/>
      <w:marBottom w:val="0"/>
      <w:divBdr>
        <w:top w:val="none" w:sz="0" w:space="0" w:color="auto"/>
        <w:left w:val="none" w:sz="0" w:space="0" w:color="auto"/>
        <w:bottom w:val="none" w:sz="0" w:space="0" w:color="auto"/>
        <w:right w:val="none" w:sz="0" w:space="0" w:color="auto"/>
      </w:divBdr>
    </w:div>
    <w:div w:id="1254244418">
      <w:bodyDiv w:val="1"/>
      <w:marLeft w:val="0"/>
      <w:marRight w:val="0"/>
      <w:marTop w:val="0"/>
      <w:marBottom w:val="0"/>
      <w:divBdr>
        <w:top w:val="none" w:sz="0" w:space="0" w:color="auto"/>
        <w:left w:val="none" w:sz="0" w:space="0" w:color="auto"/>
        <w:bottom w:val="none" w:sz="0" w:space="0" w:color="auto"/>
        <w:right w:val="none" w:sz="0" w:space="0" w:color="auto"/>
      </w:divBdr>
    </w:div>
    <w:div w:id="20550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ABE50-9F00-44D6-80BE-F4AF58E2BCC6}">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E5C05317-3ABF-4124-8746-8ABC6C112207}">
  <ds:schemaRefs>
    <ds:schemaRef ds:uri="http://schemas.microsoft.com/sharepoint/v3/contenttype/forms"/>
  </ds:schemaRefs>
</ds:datastoreItem>
</file>

<file path=customXml/itemProps3.xml><?xml version="1.0" encoding="utf-8"?>
<ds:datastoreItem xmlns:ds="http://schemas.openxmlformats.org/officeDocument/2006/customXml" ds:itemID="{FE540342-CFEB-42DB-990B-E6CA5818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11345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Abasto_02</cp:lastModifiedBy>
  <cp:revision>2</cp:revision>
  <cp:lastPrinted>2024-12-18T20:35:00Z</cp:lastPrinted>
  <dcterms:created xsi:type="dcterms:W3CDTF">2025-10-16T17:36:00Z</dcterms:created>
  <dcterms:modified xsi:type="dcterms:W3CDTF">2025-10-16T17:36:00Z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